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74EF4" w:rsidRPr="00304216" w:rsidRDefault="001007D7">
      <w:pPr>
        <w:tabs>
          <w:tab w:val="left" w:pos="1985"/>
        </w:tabs>
        <w:spacing w:after="0"/>
        <w:rPr>
          <w:rFonts w:ascii="Arial" w:eastAsia="Arial" w:hAnsi="Arial" w:cs="Arial"/>
          <w:b/>
          <w:sz w:val="24"/>
          <w:szCs w:val="24"/>
        </w:rPr>
      </w:pPr>
      <w:bookmarkStart w:id="0" w:name="_heading=h.gjdgxs" w:colFirst="0" w:colLast="0"/>
      <w:bookmarkEnd w:id="0"/>
      <w:r w:rsidRPr="00304216">
        <w:rPr>
          <w:rFonts w:ascii="Arial" w:eastAsia="Arial" w:hAnsi="Arial" w:cs="Arial"/>
          <w:b/>
          <w:sz w:val="24"/>
          <w:szCs w:val="24"/>
        </w:rPr>
        <w:t>3GPP TSG RAN WG1 #104bis-e</w:t>
      </w:r>
      <w:r w:rsidRPr="00304216">
        <w:rPr>
          <w:rFonts w:ascii="Arial" w:eastAsia="Arial" w:hAnsi="Arial" w:cs="Arial"/>
          <w:b/>
          <w:sz w:val="24"/>
          <w:szCs w:val="24"/>
        </w:rPr>
        <w:tab/>
      </w:r>
      <w:r w:rsidRPr="00304216">
        <w:rPr>
          <w:rFonts w:ascii="Arial" w:eastAsia="Arial" w:hAnsi="Arial" w:cs="Arial"/>
          <w:b/>
          <w:sz w:val="24"/>
          <w:szCs w:val="24"/>
        </w:rPr>
        <w:tab/>
      </w:r>
      <w:r w:rsidRPr="00304216">
        <w:rPr>
          <w:rFonts w:ascii="Arial" w:eastAsia="Arial" w:hAnsi="Arial" w:cs="Arial"/>
          <w:b/>
          <w:sz w:val="24"/>
          <w:szCs w:val="24"/>
        </w:rPr>
        <w:tab/>
        <w:t xml:space="preserve">                        </w:t>
      </w:r>
      <w:r w:rsidRPr="00304216">
        <w:rPr>
          <w:rFonts w:ascii="Arial" w:eastAsia="Arial" w:hAnsi="Arial" w:cs="Arial"/>
          <w:b/>
          <w:sz w:val="24"/>
          <w:szCs w:val="24"/>
        </w:rPr>
        <w:tab/>
      </w:r>
      <w:r w:rsidRPr="00304216">
        <w:rPr>
          <w:rFonts w:ascii="Arial" w:eastAsia="Arial" w:hAnsi="Arial" w:cs="Arial"/>
          <w:b/>
          <w:sz w:val="24"/>
          <w:szCs w:val="24"/>
        </w:rPr>
        <w:tab/>
        <w:t>R1-</w:t>
      </w:r>
      <w:r w:rsidR="00304216" w:rsidRPr="00304216">
        <w:t xml:space="preserve"> </w:t>
      </w:r>
      <w:r w:rsidR="00304216" w:rsidRPr="00304216">
        <w:rPr>
          <w:rFonts w:ascii="Arial" w:eastAsia="Arial" w:hAnsi="Arial" w:cs="Arial"/>
          <w:b/>
          <w:sz w:val="24"/>
          <w:szCs w:val="24"/>
        </w:rPr>
        <w:t>2103716</w:t>
      </w:r>
    </w:p>
    <w:p w:rsidR="00874EF4" w:rsidRDefault="001007D7">
      <w:pPr>
        <w:tabs>
          <w:tab w:val="left" w:pos="1985"/>
        </w:tabs>
        <w:spacing w:after="0"/>
        <w:rPr>
          <w:rFonts w:ascii="Arial" w:eastAsia="Arial" w:hAnsi="Arial" w:cs="Arial"/>
          <w:b/>
          <w:sz w:val="24"/>
          <w:szCs w:val="24"/>
        </w:rPr>
      </w:pPr>
      <w:r>
        <w:rPr>
          <w:rFonts w:ascii="Arial" w:eastAsia="Arial" w:hAnsi="Arial" w:cs="Arial"/>
          <w:b/>
          <w:sz w:val="24"/>
          <w:szCs w:val="24"/>
        </w:rPr>
        <w:t>Electronic Meeting, April 12th - 20th, 2021</w:t>
      </w:r>
    </w:p>
    <w:p w:rsidR="00874EF4" w:rsidRDefault="00874EF4">
      <w:pPr>
        <w:tabs>
          <w:tab w:val="left" w:pos="1985"/>
        </w:tabs>
        <w:spacing w:after="0"/>
        <w:rPr>
          <w:rFonts w:ascii="Arial" w:eastAsia="Arial" w:hAnsi="Arial" w:cs="Arial"/>
          <w:b/>
          <w:sz w:val="24"/>
          <w:szCs w:val="24"/>
        </w:rPr>
      </w:pPr>
    </w:p>
    <w:p w:rsidR="00874EF4" w:rsidRDefault="001007D7">
      <w:pPr>
        <w:tabs>
          <w:tab w:val="left" w:pos="1985"/>
        </w:tabs>
        <w:spacing w:after="0"/>
        <w:rPr>
          <w:rFonts w:ascii="Arial" w:eastAsia="Arial" w:hAnsi="Arial" w:cs="Arial"/>
          <w:sz w:val="24"/>
          <w:szCs w:val="24"/>
        </w:rPr>
      </w:pPr>
      <w:r>
        <w:rPr>
          <w:rFonts w:ascii="Arial" w:eastAsia="Arial" w:hAnsi="Arial" w:cs="Arial"/>
          <w:b/>
          <w:sz w:val="24"/>
          <w:szCs w:val="24"/>
        </w:rPr>
        <w:t>Agenda Item:</w:t>
      </w:r>
      <w:r>
        <w:rPr>
          <w:rFonts w:ascii="Arial" w:eastAsia="Arial" w:hAnsi="Arial" w:cs="Arial"/>
          <w:sz w:val="24"/>
          <w:szCs w:val="24"/>
        </w:rPr>
        <w:tab/>
        <w:t>8.15.1</w:t>
      </w:r>
    </w:p>
    <w:p w:rsidR="00874EF4" w:rsidRDefault="001007D7">
      <w:pPr>
        <w:tabs>
          <w:tab w:val="left" w:pos="1985"/>
        </w:tabs>
        <w:spacing w:after="0"/>
        <w:rPr>
          <w:rFonts w:ascii="Arial" w:eastAsia="Arial" w:hAnsi="Arial" w:cs="Arial"/>
          <w:sz w:val="24"/>
          <w:szCs w:val="24"/>
          <w:highlight w:val="yellow"/>
        </w:rPr>
      </w:pPr>
      <w:bookmarkStart w:id="1" w:name="_heading=h.1fob9te" w:colFirst="0" w:colLast="0"/>
      <w:bookmarkEnd w:id="1"/>
      <w:r>
        <w:rPr>
          <w:rFonts w:ascii="Arial" w:eastAsia="Arial" w:hAnsi="Arial" w:cs="Arial"/>
          <w:b/>
          <w:sz w:val="24"/>
          <w:szCs w:val="24"/>
        </w:rPr>
        <w:t xml:space="preserve">Source: </w:t>
      </w:r>
      <w:r>
        <w:rPr>
          <w:rFonts w:ascii="Arial" w:eastAsia="Arial" w:hAnsi="Arial" w:cs="Arial"/>
          <w:b/>
          <w:sz w:val="24"/>
          <w:szCs w:val="24"/>
        </w:rPr>
        <w:tab/>
      </w:r>
      <w:r w:rsidRPr="00304216">
        <w:rPr>
          <w:rFonts w:ascii="Arial" w:eastAsia="Arial" w:hAnsi="Arial" w:cs="Arial"/>
          <w:sz w:val="24"/>
          <w:szCs w:val="24"/>
        </w:rPr>
        <w:t>Sateliot, Gatehouse, Thales</w:t>
      </w:r>
    </w:p>
    <w:p w:rsidR="00874EF4" w:rsidRDefault="001007D7">
      <w:pPr>
        <w:tabs>
          <w:tab w:val="left" w:pos="1985"/>
        </w:tabs>
        <w:spacing w:after="0"/>
        <w:rPr>
          <w:rFonts w:ascii="Arial" w:eastAsia="Arial" w:hAnsi="Arial" w:cs="Arial"/>
          <w:sz w:val="24"/>
          <w:szCs w:val="24"/>
        </w:rPr>
      </w:pPr>
      <w:r>
        <w:rPr>
          <w:rFonts w:ascii="Arial" w:eastAsia="Arial" w:hAnsi="Arial" w:cs="Arial"/>
          <w:b/>
          <w:sz w:val="24"/>
          <w:szCs w:val="24"/>
        </w:rPr>
        <w:t>Title:</w:t>
      </w:r>
      <w:r>
        <w:rPr>
          <w:rFonts w:ascii="Arial" w:eastAsia="Arial" w:hAnsi="Arial" w:cs="Arial"/>
          <w:sz w:val="24"/>
          <w:szCs w:val="24"/>
        </w:rPr>
        <w:t xml:space="preserve"> </w:t>
      </w:r>
      <w:r>
        <w:rPr>
          <w:rFonts w:ascii="Arial" w:eastAsia="Arial" w:hAnsi="Arial" w:cs="Arial"/>
          <w:sz w:val="24"/>
          <w:szCs w:val="24"/>
        </w:rPr>
        <w:tab/>
        <w:t>Link budget analysis for Set-4</w:t>
      </w:r>
    </w:p>
    <w:p w:rsidR="00874EF4" w:rsidRDefault="001007D7">
      <w:pPr>
        <w:pBdr>
          <w:bottom w:val="single" w:sz="12" w:space="1" w:color="000000"/>
        </w:pBdr>
        <w:tabs>
          <w:tab w:val="left" w:pos="1985"/>
        </w:tabs>
        <w:spacing w:after="480"/>
        <w:rPr>
          <w:rFonts w:ascii="Arial" w:eastAsia="Arial" w:hAnsi="Arial" w:cs="Arial"/>
          <w:sz w:val="24"/>
          <w:szCs w:val="24"/>
        </w:rPr>
      </w:pPr>
      <w:r>
        <w:rPr>
          <w:rFonts w:ascii="Arial" w:eastAsia="Arial" w:hAnsi="Arial" w:cs="Arial"/>
          <w:b/>
          <w:sz w:val="24"/>
          <w:szCs w:val="24"/>
        </w:rPr>
        <w:t>Document for:</w:t>
      </w:r>
      <w:r>
        <w:rPr>
          <w:rFonts w:ascii="Arial" w:eastAsia="Arial" w:hAnsi="Arial" w:cs="Arial"/>
          <w:sz w:val="24"/>
          <w:szCs w:val="24"/>
        </w:rPr>
        <w:tab/>
        <w:t>Discussion and Decision</w:t>
      </w:r>
    </w:p>
    <w:p w:rsidR="00874EF4" w:rsidRDefault="001007D7">
      <w:pPr>
        <w:pStyle w:val="Ttulo1"/>
        <w:numPr>
          <w:ilvl w:val="0"/>
          <w:numId w:val="5"/>
        </w:numPr>
      </w:pPr>
      <w:r>
        <w:t>Introduction</w:t>
      </w:r>
    </w:p>
    <w:p w:rsidR="00874EF4" w:rsidRDefault="001007D7">
      <w:r>
        <w:t xml:space="preserve">RAN1#104 agreed on the use of four satellite parameter sets (Set 1, 2, 3 and 4) for system level simulator calibration. Among them, Set-4 is a set representing a feasible characterization of nanosatellite platforms such as CubeSats. </w:t>
      </w:r>
    </w:p>
    <w:p w:rsidR="00874EF4" w:rsidRDefault="001007D7">
      <w:r>
        <w:t xml:space="preserve">RAN1#104 also agreed a common set of link budget parameters to be used for link budget computations (e.g. noise figures, terminal power class, etc.). </w:t>
      </w:r>
    </w:p>
    <w:p w:rsidR="00874EF4" w:rsidRDefault="001007D7">
      <w:pPr>
        <w:spacing w:before="200" w:after="120"/>
      </w:pPr>
      <w:r>
        <w:t>Based on the above, this contribution provides:</w:t>
      </w:r>
    </w:p>
    <w:p w:rsidR="00874EF4" w:rsidRDefault="001007D7">
      <w:pPr>
        <w:numPr>
          <w:ilvl w:val="0"/>
          <w:numId w:val="2"/>
        </w:numPr>
        <w:spacing w:before="0" w:after="120"/>
      </w:pPr>
      <w:r>
        <w:t xml:space="preserve">Section 2: A description of a satellite configuration compliant with Set-4 parameters and </w:t>
      </w:r>
      <w:r w:rsidR="00122E1B">
        <w:t xml:space="preserve">a proposal to update </w:t>
      </w:r>
      <w:r>
        <w:t>the maximum beam diameter size</w:t>
      </w:r>
      <w:r w:rsidR="00122E1B">
        <w:t xml:space="preserve"> to account for this configuration</w:t>
      </w:r>
    </w:p>
    <w:p w:rsidR="00874EF4" w:rsidRDefault="001007D7">
      <w:pPr>
        <w:numPr>
          <w:ilvl w:val="0"/>
          <w:numId w:val="2"/>
        </w:numPr>
        <w:spacing w:before="0" w:after="120"/>
      </w:pPr>
      <w:r>
        <w:t>Section 3: Link budget analysis at beam edge and beam center locations</w:t>
      </w:r>
      <w:r w:rsidR="00122E1B">
        <w:t xml:space="preserve">, </w:t>
      </w:r>
      <w:r>
        <w:t xml:space="preserve">SNR distribution </w:t>
      </w:r>
      <w:r w:rsidR="00122E1B">
        <w:t xml:space="preserve">within the beam footprint </w:t>
      </w:r>
      <w:r>
        <w:t xml:space="preserve">and </w:t>
      </w:r>
      <w:r w:rsidR="00122E1B">
        <w:t xml:space="preserve">SNR </w:t>
      </w:r>
      <w:r>
        <w:t>time-evolution patterns during a satellite pass</w:t>
      </w:r>
    </w:p>
    <w:p w:rsidR="00874EF4" w:rsidRDefault="00874EF4">
      <w:pPr>
        <w:spacing w:before="0" w:after="120"/>
      </w:pPr>
    </w:p>
    <w:p w:rsidR="00874EF4" w:rsidRDefault="001007D7">
      <w:pPr>
        <w:pStyle w:val="Ttulo1"/>
        <w:numPr>
          <w:ilvl w:val="0"/>
          <w:numId w:val="5"/>
        </w:numPr>
      </w:pPr>
      <w:bookmarkStart w:id="2" w:name="_heading=h.30j0zll" w:colFirst="0" w:colLast="0"/>
      <w:bookmarkEnd w:id="2"/>
      <w:r>
        <w:t>Scenario description</w:t>
      </w:r>
    </w:p>
    <w:p w:rsidR="00874EF4" w:rsidRDefault="001007D7">
      <w:pPr>
        <w:pStyle w:val="Ttulo2"/>
        <w:numPr>
          <w:ilvl w:val="1"/>
          <w:numId w:val="5"/>
        </w:numPr>
      </w:pPr>
      <w:r>
        <w:t>Link Budget Parameters for Set-4</w:t>
      </w:r>
    </w:p>
    <w:p w:rsidR="00874EF4" w:rsidRDefault="001007D7">
      <w:r>
        <w:t xml:space="preserve">Within 3GPP TR 36.763 V0.1.0 [1], satellite parameters related to Set-4 are compiled in Table 6.2.-7 and Table 6.2-3, reproduced hereafter. </w:t>
      </w:r>
    </w:p>
    <w:p w:rsidR="00874EF4" w:rsidRDefault="00874EF4">
      <w:pPr>
        <w:rPr>
          <w:rFonts w:ascii="Arial" w:eastAsia="Arial" w:hAnsi="Arial" w:cs="Arial"/>
        </w:rPr>
      </w:pPr>
    </w:p>
    <w:p w:rsidR="00874EF4" w:rsidRDefault="001007D7">
      <w:pPr>
        <w:keepNext/>
        <w:keepLines/>
        <w:pBdr>
          <w:top w:val="nil"/>
          <w:left w:val="nil"/>
          <w:bottom w:val="nil"/>
          <w:right w:val="nil"/>
          <w:between w:val="nil"/>
        </w:pBdr>
        <w:jc w:val="center"/>
        <w:rPr>
          <w:rFonts w:ascii="Arial" w:eastAsia="Arial" w:hAnsi="Arial" w:cs="Arial"/>
          <w:b/>
          <w:color w:val="000000"/>
          <w:sz w:val="20"/>
          <w:szCs w:val="20"/>
        </w:rPr>
      </w:pPr>
      <w:r>
        <w:rPr>
          <w:rFonts w:ascii="Arial" w:eastAsia="Arial" w:hAnsi="Arial" w:cs="Arial"/>
          <w:b/>
          <w:color w:val="000000"/>
          <w:sz w:val="20"/>
          <w:szCs w:val="20"/>
        </w:rPr>
        <w:lastRenderedPageBreak/>
        <w:t>Table 6.2-7: Set-4 satellite parameters for system level simulator calibration</w:t>
      </w:r>
      <w:r>
        <w:rPr>
          <w:rFonts w:ascii="Arial" w:eastAsia="Arial" w:hAnsi="Arial" w:cs="Arial"/>
          <w:b/>
          <w:color w:val="000000"/>
          <w:sz w:val="20"/>
          <w:szCs w:val="20"/>
        </w:rPr>
        <w:br/>
        <w:t>(based on R1-2101019 - Thales, Sateliot, Gatehouse)</w:t>
      </w:r>
    </w:p>
    <w:tbl>
      <w:tblPr>
        <w:tblStyle w:val="afffc"/>
        <w:tblW w:w="6930" w:type="dxa"/>
        <w:jc w:val="center"/>
        <w:tblInd w:w="0" w:type="dxa"/>
        <w:tblLayout w:type="fixed"/>
        <w:tblLook w:val="0400" w:firstRow="0" w:lastRow="0" w:firstColumn="0" w:lastColumn="0" w:noHBand="0" w:noVBand="1"/>
      </w:tblPr>
      <w:tblGrid>
        <w:gridCol w:w="4036"/>
        <w:gridCol w:w="1219"/>
        <w:gridCol w:w="1675"/>
      </w:tblGrid>
      <w:tr w:rsidR="00874EF4">
        <w:trPr>
          <w:jc w:val="center"/>
        </w:trPr>
        <w:tc>
          <w:tcPr>
            <w:tcW w:w="5255"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874EF4" w:rsidRDefault="001007D7">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Satellite orbit</w:t>
            </w:r>
          </w:p>
        </w:tc>
        <w:tc>
          <w:tcPr>
            <w:tcW w:w="1675"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rsidR="00874EF4" w:rsidRDefault="001007D7">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LEO-600</w:t>
            </w:r>
          </w:p>
        </w:tc>
      </w:tr>
      <w:tr w:rsidR="00874EF4">
        <w:trPr>
          <w:jc w:val="center"/>
        </w:trPr>
        <w:tc>
          <w:tcPr>
            <w:tcW w:w="5255"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874EF4" w:rsidRDefault="001007D7">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Satellite altitude</w:t>
            </w:r>
          </w:p>
        </w:tc>
        <w:tc>
          <w:tcPr>
            <w:tcW w:w="167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874EF4" w:rsidRDefault="001007D7">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600 km</w:t>
            </w:r>
          </w:p>
        </w:tc>
      </w:tr>
      <w:tr w:rsidR="00874EF4">
        <w:trPr>
          <w:trHeight w:val="372"/>
          <w:jc w:val="center"/>
        </w:trPr>
        <w:tc>
          <w:tcPr>
            <w:tcW w:w="5255"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874EF4" w:rsidRDefault="001007D7">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Central beam edge elevation</w:t>
            </w:r>
          </w:p>
        </w:tc>
        <w:tc>
          <w:tcPr>
            <w:tcW w:w="1675" w:type="dxa"/>
            <w:tcBorders>
              <w:top w:val="nil"/>
              <w:left w:val="nil"/>
              <w:bottom w:val="single" w:sz="8" w:space="0" w:color="000000"/>
              <w:right w:val="single" w:sz="8" w:space="0" w:color="000000"/>
            </w:tcBorders>
            <w:tcMar>
              <w:top w:w="0" w:type="dxa"/>
              <w:left w:w="108" w:type="dxa"/>
              <w:bottom w:w="0" w:type="dxa"/>
              <w:right w:w="108" w:type="dxa"/>
            </w:tcMar>
          </w:tcPr>
          <w:p w:rsidR="00874EF4" w:rsidRDefault="001007D7">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30 degree</w:t>
            </w:r>
          </w:p>
        </w:tc>
      </w:tr>
      <w:tr w:rsidR="00874EF4">
        <w:trPr>
          <w:trHeight w:val="372"/>
          <w:jc w:val="center"/>
        </w:trPr>
        <w:tc>
          <w:tcPr>
            <w:tcW w:w="5255"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874EF4" w:rsidRDefault="001007D7">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Central beam center elevation</w:t>
            </w:r>
          </w:p>
        </w:tc>
        <w:tc>
          <w:tcPr>
            <w:tcW w:w="1675" w:type="dxa"/>
            <w:tcBorders>
              <w:top w:val="nil"/>
              <w:left w:val="nil"/>
              <w:bottom w:val="single" w:sz="8" w:space="0" w:color="000000"/>
              <w:right w:val="single" w:sz="8" w:space="0" w:color="000000"/>
            </w:tcBorders>
            <w:tcMar>
              <w:top w:w="0" w:type="dxa"/>
              <w:left w:w="108" w:type="dxa"/>
              <w:bottom w:w="0" w:type="dxa"/>
              <w:right w:w="108" w:type="dxa"/>
            </w:tcMar>
          </w:tcPr>
          <w:p w:rsidR="00874EF4" w:rsidRDefault="001007D7">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90 degree</w:t>
            </w:r>
          </w:p>
        </w:tc>
      </w:tr>
      <w:tr w:rsidR="00874EF4">
        <w:trPr>
          <w:trHeight w:val="372"/>
          <w:jc w:val="center"/>
        </w:trPr>
        <w:tc>
          <w:tcPr>
            <w:tcW w:w="6930" w:type="dxa"/>
            <w:gridSpan w:val="3"/>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874EF4" w:rsidRDefault="001007D7">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Payload characteristics for DL transmissions</w:t>
            </w:r>
          </w:p>
        </w:tc>
      </w:tr>
      <w:tr w:rsidR="00874EF4">
        <w:trPr>
          <w:jc w:val="center"/>
        </w:trPr>
        <w:tc>
          <w:tcPr>
            <w:tcW w:w="403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874EF4" w:rsidRDefault="001007D7">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Equivalent satellite antenna aperture (NOTE 1)</w:t>
            </w:r>
          </w:p>
        </w:tc>
        <w:tc>
          <w:tcPr>
            <w:tcW w:w="1219" w:type="dxa"/>
            <w:vMerge w:val="restart"/>
            <w:tcBorders>
              <w:top w:val="nil"/>
              <w:left w:val="nil"/>
              <w:bottom w:val="single" w:sz="8" w:space="0" w:color="000000"/>
              <w:right w:val="single" w:sz="8" w:space="0" w:color="000000"/>
            </w:tcBorders>
            <w:tcMar>
              <w:top w:w="0" w:type="dxa"/>
              <w:left w:w="108" w:type="dxa"/>
              <w:bottom w:w="0" w:type="dxa"/>
              <w:right w:w="108" w:type="dxa"/>
            </w:tcMar>
            <w:vAlign w:val="center"/>
          </w:tcPr>
          <w:p w:rsidR="00874EF4" w:rsidRDefault="001007D7">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S-band</w:t>
            </w:r>
          </w:p>
          <w:p w:rsidR="00874EF4" w:rsidRDefault="001007D7">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(i.e. 2 GHz)</w:t>
            </w:r>
          </w:p>
        </w:tc>
        <w:tc>
          <w:tcPr>
            <w:tcW w:w="167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874EF4" w:rsidRDefault="001007D7">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0.097 m</w:t>
            </w:r>
          </w:p>
        </w:tc>
      </w:tr>
      <w:tr w:rsidR="00874EF4">
        <w:trPr>
          <w:jc w:val="center"/>
        </w:trPr>
        <w:tc>
          <w:tcPr>
            <w:tcW w:w="403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874EF4" w:rsidRDefault="001007D7">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Satellite EIRP density</w:t>
            </w:r>
          </w:p>
        </w:tc>
        <w:tc>
          <w:tcPr>
            <w:tcW w:w="1219" w:type="dxa"/>
            <w:vMerge/>
            <w:tcBorders>
              <w:top w:val="nil"/>
              <w:left w:val="nil"/>
              <w:bottom w:val="single" w:sz="8" w:space="0" w:color="000000"/>
              <w:right w:val="single" w:sz="8" w:space="0" w:color="000000"/>
            </w:tcBorders>
            <w:tcMar>
              <w:top w:w="0" w:type="dxa"/>
              <w:left w:w="108" w:type="dxa"/>
              <w:bottom w:w="0" w:type="dxa"/>
              <w:right w:w="108" w:type="dxa"/>
            </w:tcMar>
            <w:vAlign w:val="center"/>
          </w:tcPr>
          <w:p w:rsidR="00874EF4" w:rsidRDefault="00874EF4">
            <w:pPr>
              <w:widowControl w:val="0"/>
              <w:pBdr>
                <w:top w:val="nil"/>
                <w:left w:val="nil"/>
                <w:bottom w:val="nil"/>
                <w:right w:val="nil"/>
                <w:between w:val="nil"/>
              </w:pBdr>
              <w:spacing w:line="276" w:lineRule="auto"/>
              <w:rPr>
                <w:rFonts w:ascii="Arial" w:eastAsia="Arial" w:hAnsi="Arial" w:cs="Arial"/>
                <w:color w:val="000000"/>
                <w:sz w:val="18"/>
                <w:szCs w:val="18"/>
              </w:rPr>
            </w:pPr>
          </w:p>
        </w:tc>
        <w:tc>
          <w:tcPr>
            <w:tcW w:w="1675" w:type="dxa"/>
            <w:tcBorders>
              <w:top w:val="nil"/>
              <w:left w:val="nil"/>
              <w:bottom w:val="single" w:sz="8" w:space="0" w:color="000000"/>
              <w:right w:val="single" w:sz="8" w:space="0" w:color="000000"/>
            </w:tcBorders>
            <w:tcMar>
              <w:top w:w="0" w:type="dxa"/>
              <w:left w:w="108" w:type="dxa"/>
              <w:bottom w:w="0" w:type="dxa"/>
              <w:right w:w="108" w:type="dxa"/>
            </w:tcMar>
          </w:tcPr>
          <w:p w:rsidR="00874EF4" w:rsidRDefault="001007D7">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 xml:space="preserve">21.45 </w:t>
            </w:r>
            <w:proofErr w:type="spellStart"/>
            <w:r>
              <w:rPr>
                <w:rFonts w:ascii="Arial" w:eastAsia="Arial" w:hAnsi="Arial" w:cs="Arial"/>
                <w:color w:val="000000"/>
                <w:sz w:val="18"/>
                <w:szCs w:val="18"/>
              </w:rPr>
              <w:t>dBW</w:t>
            </w:r>
            <w:proofErr w:type="spellEnd"/>
            <w:r>
              <w:rPr>
                <w:rFonts w:ascii="Arial" w:eastAsia="Arial" w:hAnsi="Arial" w:cs="Arial"/>
                <w:color w:val="000000"/>
                <w:sz w:val="18"/>
                <w:szCs w:val="18"/>
              </w:rPr>
              <w:t>/MHz</w:t>
            </w:r>
          </w:p>
        </w:tc>
      </w:tr>
      <w:tr w:rsidR="00874EF4">
        <w:trPr>
          <w:jc w:val="center"/>
        </w:trPr>
        <w:tc>
          <w:tcPr>
            <w:tcW w:w="403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874EF4" w:rsidRDefault="001007D7">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Satellite Tx max Gain</w:t>
            </w:r>
          </w:p>
        </w:tc>
        <w:tc>
          <w:tcPr>
            <w:tcW w:w="1219" w:type="dxa"/>
            <w:vMerge/>
            <w:tcBorders>
              <w:top w:val="nil"/>
              <w:left w:val="nil"/>
              <w:bottom w:val="single" w:sz="8" w:space="0" w:color="000000"/>
              <w:right w:val="single" w:sz="8" w:space="0" w:color="000000"/>
            </w:tcBorders>
            <w:tcMar>
              <w:top w:w="0" w:type="dxa"/>
              <w:left w:w="108" w:type="dxa"/>
              <w:bottom w:w="0" w:type="dxa"/>
              <w:right w:w="108" w:type="dxa"/>
            </w:tcMar>
            <w:vAlign w:val="center"/>
          </w:tcPr>
          <w:p w:rsidR="00874EF4" w:rsidRDefault="00874EF4">
            <w:pPr>
              <w:widowControl w:val="0"/>
              <w:pBdr>
                <w:top w:val="nil"/>
                <w:left w:val="nil"/>
                <w:bottom w:val="nil"/>
                <w:right w:val="nil"/>
                <w:between w:val="nil"/>
              </w:pBdr>
              <w:spacing w:line="276" w:lineRule="auto"/>
              <w:rPr>
                <w:rFonts w:ascii="Arial" w:eastAsia="Arial" w:hAnsi="Arial" w:cs="Arial"/>
                <w:color w:val="000000"/>
                <w:sz w:val="18"/>
                <w:szCs w:val="18"/>
              </w:rPr>
            </w:pPr>
          </w:p>
        </w:tc>
        <w:tc>
          <w:tcPr>
            <w:tcW w:w="1675" w:type="dxa"/>
            <w:tcBorders>
              <w:top w:val="nil"/>
              <w:left w:val="nil"/>
              <w:bottom w:val="single" w:sz="8" w:space="0" w:color="000000"/>
              <w:right w:val="single" w:sz="8" w:space="0" w:color="000000"/>
            </w:tcBorders>
            <w:tcMar>
              <w:top w:w="0" w:type="dxa"/>
              <w:left w:w="108" w:type="dxa"/>
              <w:bottom w:w="0" w:type="dxa"/>
              <w:right w:w="108" w:type="dxa"/>
            </w:tcMar>
          </w:tcPr>
          <w:p w:rsidR="00874EF4" w:rsidRDefault="001007D7">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 xml:space="preserve">11 </w:t>
            </w:r>
            <w:proofErr w:type="spellStart"/>
            <w:r>
              <w:rPr>
                <w:rFonts w:ascii="Arial" w:eastAsia="Arial" w:hAnsi="Arial" w:cs="Arial"/>
                <w:color w:val="000000"/>
                <w:sz w:val="18"/>
                <w:szCs w:val="18"/>
              </w:rPr>
              <w:t>dBi</w:t>
            </w:r>
            <w:proofErr w:type="spellEnd"/>
          </w:p>
        </w:tc>
      </w:tr>
      <w:tr w:rsidR="00874EF4">
        <w:trPr>
          <w:jc w:val="center"/>
        </w:trPr>
        <w:tc>
          <w:tcPr>
            <w:tcW w:w="403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874EF4" w:rsidRDefault="001007D7">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3dB beam width (HPBW)</w:t>
            </w:r>
          </w:p>
        </w:tc>
        <w:tc>
          <w:tcPr>
            <w:tcW w:w="1219" w:type="dxa"/>
            <w:vMerge/>
            <w:tcBorders>
              <w:top w:val="nil"/>
              <w:left w:val="nil"/>
              <w:bottom w:val="single" w:sz="8" w:space="0" w:color="000000"/>
              <w:right w:val="single" w:sz="8" w:space="0" w:color="000000"/>
            </w:tcBorders>
            <w:tcMar>
              <w:top w:w="0" w:type="dxa"/>
              <w:left w:w="108" w:type="dxa"/>
              <w:bottom w:w="0" w:type="dxa"/>
              <w:right w:w="108" w:type="dxa"/>
            </w:tcMar>
            <w:vAlign w:val="center"/>
          </w:tcPr>
          <w:p w:rsidR="00874EF4" w:rsidRDefault="00874EF4">
            <w:pPr>
              <w:widowControl w:val="0"/>
              <w:pBdr>
                <w:top w:val="nil"/>
                <w:left w:val="nil"/>
                <w:bottom w:val="nil"/>
                <w:right w:val="nil"/>
                <w:between w:val="nil"/>
              </w:pBdr>
              <w:spacing w:line="276" w:lineRule="auto"/>
              <w:rPr>
                <w:rFonts w:ascii="Arial" w:eastAsia="Arial" w:hAnsi="Arial" w:cs="Arial"/>
                <w:color w:val="000000"/>
                <w:sz w:val="18"/>
                <w:szCs w:val="18"/>
              </w:rPr>
            </w:pPr>
          </w:p>
        </w:tc>
        <w:tc>
          <w:tcPr>
            <w:tcW w:w="1675" w:type="dxa"/>
            <w:tcBorders>
              <w:top w:val="nil"/>
              <w:left w:val="nil"/>
              <w:bottom w:val="single" w:sz="8" w:space="0" w:color="000000"/>
              <w:right w:val="single" w:sz="8" w:space="0" w:color="000000"/>
            </w:tcBorders>
            <w:tcMar>
              <w:top w:w="0" w:type="dxa"/>
              <w:left w:w="108" w:type="dxa"/>
              <w:bottom w:w="0" w:type="dxa"/>
              <w:right w:w="108" w:type="dxa"/>
            </w:tcMar>
          </w:tcPr>
          <w:p w:rsidR="00874EF4" w:rsidRDefault="001007D7">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104.7 degree</w:t>
            </w:r>
          </w:p>
        </w:tc>
      </w:tr>
      <w:tr w:rsidR="00874EF4">
        <w:trPr>
          <w:jc w:val="center"/>
        </w:trPr>
        <w:tc>
          <w:tcPr>
            <w:tcW w:w="403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874EF4" w:rsidRDefault="001007D7">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Satellite beam diameter (Note 2)</w:t>
            </w:r>
          </w:p>
        </w:tc>
        <w:tc>
          <w:tcPr>
            <w:tcW w:w="1219" w:type="dxa"/>
            <w:vMerge/>
            <w:tcBorders>
              <w:top w:val="nil"/>
              <w:left w:val="nil"/>
              <w:bottom w:val="single" w:sz="8" w:space="0" w:color="000000"/>
              <w:right w:val="single" w:sz="8" w:space="0" w:color="000000"/>
            </w:tcBorders>
            <w:tcMar>
              <w:top w:w="0" w:type="dxa"/>
              <w:left w:w="108" w:type="dxa"/>
              <w:bottom w:w="0" w:type="dxa"/>
              <w:right w:w="108" w:type="dxa"/>
            </w:tcMar>
            <w:vAlign w:val="center"/>
          </w:tcPr>
          <w:p w:rsidR="00874EF4" w:rsidRDefault="00874EF4">
            <w:pPr>
              <w:widowControl w:val="0"/>
              <w:pBdr>
                <w:top w:val="nil"/>
                <w:left w:val="nil"/>
                <w:bottom w:val="nil"/>
                <w:right w:val="nil"/>
                <w:between w:val="nil"/>
              </w:pBdr>
              <w:spacing w:line="276" w:lineRule="auto"/>
              <w:rPr>
                <w:rFonts w:ascii="Arial" w:eastAsia="Arial" w:hAnsi="Arial" w:cs="Arial"/>
                <w:color w:val="000000"/>
                <w:sz w:val="18"/>
                <w:szCs w:val="18"/>
              </w:rPr>
            </w:pPr>
          </w:p>
        </w:tc>
        <w:tc>
          <w:tcPr>
            <w:tcW w:w="1675" w:type="dxa"/>
            <w:tcBorders>
              <w:top w:val="nil"/>
              <w:left w:val="nil"/>
              <w:bottom w:val="single" w:sz="8" w:space="0" w:color="000000"/>
              <w:right w:val="single" w:sz="8" w:space="0" w:color="000000"/>
            </w:tcBorders>
            <w:tcMar>
              <w:top w:w="0" w:type="dxa"/>
              <w:left w:w="108" w:type="dxa"/>
              <w:bottom w:w="0" w:type="dxa"/>
              <w:right w:w="108" w:type="dxa"/>
            </w:tcMar>
          </w:tcPr>
          <w:p w:rsidR="00874EF4" w:rsidRDefault="001007D7">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1700 km</w:t>
            </w:r>
          </w:p>
        </w:tc>
      </w:tr>
      <w:tr w:rsidR="00874EF4">
        <w:trPr>
          <w:jc w:val="center"/>
        </w:trPr>
        <w:tc>
          <w:tcPr>
            <w:tcW w:w="6930" w:type="dxa"/>
            <w:gridSpan w:val="3"/>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874EF4" w:rsidRDefault="001007D7">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Payload characteristics for UL transmissions</w:t>
            </w:r>
          </w:p>
        </w:tc>
      </w:tr>
      <w:tr w:rsidR="00874EF4">
        <w:trPr>
          <w:jc w:val="center"/>
        </w:trPr>
        <w:tc>
          <w:tcPr>
            <w:tcW w:w="403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874EF4" w:rsidRDefault="001007D7">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Equivalent satellite antenna aperture (NOTE 1)</w:t>
            </w:r>
          </w:p>
        </w:tc>
        <w:tc>
          <w:tcPr>
            <w:tcW w:w="1219" w:type="dxa"/>
            <w:vMerge w:val="restart"/>
            <w:tcBorders>
              <w:top w:val="nil"/>
              <w:left w:val="nil"/>
              <w:bottom w:val="single" w:sz="8" w:space="0" w:color="000000"/>
              <w:right w:val="single" w:sz="8" w:space="0" w:color="000000"/>
            </w:tcBorders>
            <w:tcMar>
              <w:top w:w="0" w:type="dxa"/>
              <w:left w:w="108" w:type="dxa"/>
              <w:bottom w:w="0" w:type="dxa"/>
              <w:right w:w="108" w:type="dxa"/>
            </w:tcMar>
            <w:vAlign w:val="center"/>
          </w:tcPr>
          <w:p w:rsidR="00874EF4" w:rsidRDefault="001007D7">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 xml:space="preserve">S-band </w:t>
            </w:r>
          </w:p>
          <w:p w:rsidR="00874EF4" w:rsidRDefault="001007D7">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(i.e. 2 GHz)</w:t>
            </w:r>
          </w:p>
        </w:tc>
        <w:tc>
          <w:tcPr>
            <w:tcW w:w="167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874EF4" w:rsidRDefault="001007D7">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0.097 m</w:t>
            </w:r>
          </w:p>
        </w:tc>
      </w:tr>
      <w:tr w:rsidR="00874EF4">
        <w:trPr>
          <w:jc w:val="center"/>
        </w:trPr>
        <w:tc>
          <w:tcPr>
            <w:tcW w:w="403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874EF4" w:rsidRDefault="001007D7">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G/T</w:t>
            </w:r>
          </w:p>
        </w:tc>
        <w:tc>
          <w:tcPr>
            <w:tcW w:w="1219" w:type="dxa"/>
            <w:vMerge/>
            <w:tcBorders>
              <w:top w:val="nil"/>
              <w:left w:val="nil"/>
              <w:bottom w:val="single" w:sz="8" w:space="0" w:color="000000"/>
              <w:right w:val="single" w:sz="8" w:space="0" w:color="000000"/>
            </w:tcBorders>
            <w:tcMar>
              <w:top w:w="0" w:type="dxa"/>
              <w:left w:w="108" w:type="dxa"/>
              <w:bottom w:w="0" w:type="dxa"/>
              <w:right w:w="108" w:type="dxa"/>
            </w:tcMar>
            <w:vAlign w:val="center"/>
          </w:tcPr>
          <w:p w:rsidR="00874EF4" w:rsidRDefault="00874EF4">
            <w:pPr>
              <w:widowControl w:val="0"/>
              <w:pBdr>
                <w:top w:val="nil"/>
                <w:left w:val="nil"/>
                <w:bottom w:val="nil"/>
                <w:right w:val="nil"/>
                <w:between w:val="nil"/>
              </w:pBdr>
              <w:spacing w:line="276" w:lineRule="auto"/>
              <w:rPr>
                <w:rFonts w:ascii="Arial" w:eastAsia="Arial" w:hAnsi="Arial" w:cs="Arial"/>
                <w:color w:val="000000"/>
                <w:sz w:val="18"/>
                <w:szCs w:val="18"/>
              </w:rPr>
            </w:pPr>
          </w:p>
        </w:tc>
        <w:tc>
          <w:tcPr>
            <w:tcW w:w="1675" w:type="dxa"/>
            <w:tcBorders>
              <w:top w:val="nil"/>
              <w:left w:val="nil"/>
              <w:bottom w:val="single" w:sz="8" w:space="0" w:color="000000"/>
              <w:right w:val="single" w:sz="8" w:space="0" w:color="000000"/>
            </w:tcBorders>
            <w:tcMar>
              <w:top w:w="0" w:type="dxa"/>
              <w:left w:w="108" w:type="dxa"/>
              <w:bottom w:w="0" w:type="dxa"/>
              <w:right w:w="108" w:type="dxa"/>
            </w:tcMar>
          </w:tcPr>
          <w:p w:rsidR="00874EF4" w:rsidRDefault="001007D7">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- 18.6 dB·K</w:t>
            </w:r>
            <w:r>
              <w:rPr>
                <w:rFonts w:ascii="Arial" w:eastAsia="Arial" w:hAnsi="Arial" w:cs="Arial"/>
                <w:color w:val="000000"/>
                <w:sz w:val="18"/>
                <w:szCs w:val="18"/>
                <w:vertAlign w:val="superscript"/>
              </w:rPr>
              <w:t>-1</w:t>
            </w:r>
          </w:p>
        </w:tc>
      </w:tr>
      <w:tr w:rsidR="00874EF4">
        <w:trPr>
          <w:jc w:val="center"/>
        </w:trPr>
        <w:tc>
          <w:tcPr>
            <w:tcW w:w="4036" w:type="dxa"/>
            <w:tcBorders>
              <w:top w:val="nil"/>
              <w:left w:val="single" w:sz="8" w:space="0" w:color="000000"/>
              <w:bottom w:val="single" w:sz="4" w:space="0" w:color="000000"/>
              <w:right w:val="single" w:sz="8" w:space="0" w:color="000000"/>
            </w:tcBorders>
            <w:tcMar>
              <w:top w:w="0" w:type="dxa"/>
              <w:left w:w="108" w:type="dxa"/>
              <w:bottom w:w="0" w:type="dxa"/>
              <w:right w:w="108" w:type="dxa"/>
            </w:tcMar>
            <w:vAlign w:val="center"/>
          </w:tcPr>
          <w:p w:rsidR="00874EF4" w:rsidRDefault="001007D7">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Satellite Rx max Gain</w:t>
            </w:r>
          </w:p>
        </w:tc>
        <w:tc>
          <w:tcPr>
            <w:tcW w:w="1219" w:type="dxa"/>
            <w:vMerge/>
            <w:tcBorders>
              <w:top w:val="nil"/>
              <w:left w:val="nil"/>
              <w:bottom w:val="single" w:sz="8" w:space="0" w:color="000000"/>
              <w:right w:val="single" w:sz="8" w:space="0" w:color="000000"/>
            </w:tcBorders>
            <w:tcMar>
              <w:top w:w="0" w:type="dxa"/>
              <w:left w:w="108" w:type="dxa"/>
              <w:bottom w:w="0" w:type="dxa"/>
              <w:right w:w="108" w:type="dxa"/>
            </w:tcMar>
            <w:vAlign w:val="center"/>
          </w:tcPr>
          <w:p w:rsidR="00874EF4" w:rsidRDefault="00874EF4">
            <w:pPr>
              <w:widowControl w:val="0"/>
              <w:pBdr>
                <w:top w:val="nil"/>
                <w:left w:val="nil"/>
                <w:bottom w:val="nil"/>
                <w:right w:val="nil"/>
                <w:between w:val="nil"/>
              </w:pBdr>
              <w:spacing w:line="276" w:lineRule="auto"/>
              <w:rPr>
                <w:rFonts w:ascii="Arial" w:eastAsia="Arial" w:hAnsi="Arial" w:cs="Arial"/>
                <w:color w:val="000000"/>
                <w:sz w:val="18"/>
                <w:szCs w:val="18"/>
              </w:rPr>
            </w:pPr>
          </w:p>
        </w:tc>
        <w:tc>
          <w:tcPr>
            <w:tcW w:w="1675" w:type="dxa"/>
            <w:tcBorders>
              <w:top w:val="nil"/>
              <w:left w:val="nil"/>
              <w:bottom w:val="single" w:sz="4" w:space="0" w:color="000000"/>
              <w:right w:val="single" w:sz="8" w:space="0" w:color="000000"/>
            </w:tcBorders>
            <w:tcMar>
              <w:top w:w="0" w:type="dxa"/>
              <w:left w:w="108" w:type="dxa"/>
              <w:bottom w:w="0" w:type="dxa"/>
              <w:right w:w="108" w:type="dxa"/>
            </w:tcMar>
          </w:tcPr>
          <w:p w:rsidR="00874EF4" w:rsidRDefault="001007D7">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 xml:space="preserve">11 </w:t>
            </w:r>
            <w:proofErr w:type="spellStart"/>
            <w:r>
              <w:rPr>
                <w:rFonts w:ascii="Arial" w:eastAsia="Arial" w:hAnsi="Arial" w:cs="Arial"/>
                <w:color w:val="000000"/>
                <w:sz w:val="18"/>
                <w:szCs w:val="18"/>
              </w:rPr>
              <w:t>dBi</w:t>
            </w:r>
            <w:proofErr w:type="spellEnd"/>
          </w:p>
        </w:tc>
      </w:tr>
      <w:tr w:rsidR="00874EF4">
        <w:trPr>
          <w:jc w:val="center"/>
        </w:trPr>
        <w:tc>
          <w:tcPr>
            <w:tcW w:w="693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74EF4" w:rsidRDefault="001007D7">
            <w:pPr>
              <w:keepNext/>
              <w:keepLines/>
              <w:pBdr>
                <w:top w:val="nil"/>
                <w:left w:val="nil"/>
                <w:bottom w:val="nil"/>
                <w:right w:val="nil"/>
                <w:between w:val="nil"/>
              </w:pBdr>
              <w:ind w:left="851" w:hanging="851"/>
              <w:rPr>
                <w:rFonts w:ascii="Arial" w:eastAsia="Arial" w:hAnsi="Arial" w:cs="Arial"/>
                <w:color w:val="000000"/>
                <w:sz w:val="18"/>
                <w:szCs w:val="18"/>
              </w:rPr>
            </w:pPr>
            <w:r>
              <w:rPr>
                <w:rFonts w:ascii="Arial" w:eastAsia="Arial" w:hAnsi="Arial" w:cs="Arial"/>
                <w:color w:val="000000"/>
                <w:sz w:val="18"/>
                <w:szCs w:val="18"/>
              </w:rPr>
              <w:t>NOTE 1:</w:t>
            </w:r>
            <w:r>
              <w:rPr>
                <w:rFonts w:ascii="Arial" w:eastAsia="Arial" w:hAnsi="Arial" w:cs="Arial"/>
                <w:color w:val="000000"/>
                <w:sz w:val="18"/>
                <w:szCs w:val="18"/>
              </w:rPr>
              <w:tab/>
              <w:t>This value is equivalent to the antenna diameter in Sec. 6.4.1 of TR 38.811</w:t>
            </w:r>
          </w:p>
          <w:p w:rsidR="00874EF4" w:rsidRDefault="001007D7">
            <w:pPr>
              <w:keepNext/>
              <w:keepLines/>
              <w:pBdr>
                <w:top w:val="nil"/>
                <w:left w:val="nil"/>
                <w:bottom w:val="nil"/>
                <w:right w:val="nil"/>
                <w:between w:val="nil"/>
              </w:pBdr>
              <w:ind w:left="851" w:hanging="851"/>
              <w:rPr>
                <w:rFonts w:ascii="Arial" w:eastAsia="Arial" w:hAnsi="Arial" w:cs="Arial"/>
                <w:color w:val="000000"/>
                <w:sz w:val="18"/>
                <w:szCs w:val="18"/>
              </w:rPr>
            </w:pPr>
            <w:r>
              <w:rPr>
                <w:rFonts w:ascii="Arial" w:eastAsia="Arial" w:hAnsi="Arial" w:cs="Arial"/>
                <w:color w:val="000000"/>
                <w:sz w:val="18"/>
                <w:szCs w:val="18"/>
              </w:rPr>
              <w:t>NOTE 2:</w:t>
            </w:r>
            <w:r>
              <w:rPr>
                <w:rFonts w:ascii="Arial" w:eastAsia="Arial" w:hAnsi="Arial" w:cs="Arial"/>
                <w:color w:val="000000"/>
                <w:sz w:val="18"/>
                <w:szCs w:val="18"/>
              </w:rPr>
              <w:tab/>
              <w:t>Satellite beam diameter is at Nadir point</w:t>
            </w:r>
          </w:p>
          <w:p w:rsidR="00874EF4" w:rsidRDefault="001007D7">
            <w:pPr>
              <w:keepNext/>
              <w:keepLines/>
              <w:pBdr>
                <w:top w:val="nil"/>
                <w:left w:val="nil"/>
                <w:bottom w:val="nil"/>
                <w:right w:val="nil"/>
                <w:between w:val="nil"/>
              </w:pBdr>
              <w:ind w:left="851" w:hanging="851"/>
              <w:rPr>
                <w:rFonts w:ascii="Arial" w:eastAsia="Arial" w:hAnsi="Arial" w:cs="Arial"/>
                <w:color w:val="000000"/>
                <w:sz w:val="18"/>
                <w:szCs w:val="18"/>
              </w:rPr>
            </w:pPr>
            <w:r>
              <w:rPr>
                <w:rFonts w:ascii="Arial" w:eastAsia="Arial" w:hAnsi="Arial" w:cs="Arial"/>
                <w:color w:val="000000"/>
                <w:sz w:val="18"/>
                <w:szCs w:val="18"/>
              </w:rPr>
              <w:t>NOTE 3:</w:t>
            </w:r>
            <w:r>
              <w:rPr>
                <w:rFonts w:ascii="Arial" w:eastAsia="Arial" w:hAnsi="Arial" w:cs="Arial"/>
                <w:color w:val="000000"/>
                <w:sz w:val="18"/>
                <w:szCs w:val="18"/>
              </w:rPr>
              <w:tab/>
              <w:t>Central beam center elevation is referred to as central beam elevation in TR 38.821</w:t>
            </w:r>
          </w:p>
          <w:p w:rsidR="00874EF4" w:rsidRDefault="001007D7">
            <w:pPr>
              <w:keepNext/>
              <w:keepLines/>
              <w:pBdr>
                <w:top w:val="nil"/>
                <w:left w:val="nil"/>
                <w:bottom w:val="nil"/>
                <w:right w:val="nil"/>
                <w:between w:val="nil"/>
              </w:pBdr>
              <w:ind w:left="851" w:hanging="851"/>
              <w:rPr>
                <w:rFonts w:ascii="Arial" w:eastAsia="Arial" w:hAnsi="Arial" w:cs="Arial"/>
                <w:color w:val="843C0C"/>
                <w:sz w:val="18"/>
                <w:szCs w:val="18"/>
              </w:rPr>
            </w:pPr>
            <w:r>
              <w:rPr>
                <w:rFonts w:ascii="Arial" w:eastAsia="Arial" w:hAnsi="Arial" w:cs="Arial"/>
                <w:color w:val="000000"/>
                <w:sz w:val="18"/>
                <w:szCs w:val="18"/>
              </w:rPr>
              <w:t>NOTE 4:</w:t>
            </w:r>
            <w:r>
              <w:rPr>
                <w:rFonts w:ascii="Arial" w:eastAsia="Arial" w:hAnsi="Arial" w:cs="Arial"/>
                <w:color w:val="000000"/>
                <w:sz w:val="18"/>
                <w:szCs w:val="18"/>
              </w:rPr>
              <w:tab/>
              <w:t>Central beam edge elevation is the minimum beam edge elevation of the central beam in the beam layout.</w:t>
            </w:r>
          </w:p>
        </w:tc>
      </w:tr>
    </w:tbl>
    <w:p w:rsidR="00874EF4" w:rsidRDefault="00874EF4"/>
    <w:p w:rsidR="00874EF4" w:rsidRDefault="00874EF4">
      <w:pPr>
        <w:keepNext/>
        <w:keepLines/>
        <w:pBdr>
          <w:top w:val="nil"/>
          <w:left w:val="nil"/>
          <w:bottom w:val="nil"/>
          <w:right w:val="nil"/>
          <w:between w:val="nil"/>
        </w:pBdr>
        <w:jc w:val="center"/>
      </w:pPr>
    </w:p>
    <w:p w:rsidR="00874EF4" w:rsidRDefault="001007D7">
      <w:pPr>
        <w:keepNext/>
        <w:keepLines/>
        <w:pBdr>
          <w:top w:val="nil"/>
          <w:left w:val="nil"/>
          <w:bottom w:val="nil"/>
          <w:right w:val="nil"/>
          <w:between w:val="nil"/>
        </w:pBdr>
        <w:jc w:val="center"/>
        <w:rPr>
          <w:rFonts w:ascii="Arial" w:eastAsia="Arial" w:hAnsi="Arial" w:cs="Arial"/>
          <w:b/>
          <w:color w:val="000000"/>
          <w:sz w:val="20"/>
          <w:szCs w:val="20"/>
        </w:rPr>
      </w:pPr>
      <w:r>
        <w:rPr>
          <w:rFonts w:ascii="Arial" w:eastAsia="Arial" w:hAnsi="Arial" w:cs="Arial"/>
          <w:b/>
          <w:color w:val="000000"/>
          <w:sz w:val="20"/>
          <w:szCs w:val="20"/>
        </w:rPr>
        <w:t xml:space="preserve">Table </w:t>
      </w:r>
      <w:r>
        <w:rPr>
          <w:rFonts w:ascii="Arial" w:eastAsia="Arial" w:hAnsi="Arial" w:cs="Arial"/>
          <w:b/>
          <w:sz w:val="20"/>
          <w:szCs w:val="20"/>
        </w:rPr>
        <w:t>6.2-3</w:t>
      </w:r>
      <w:r>
        <w:rPr>
          <w:rFonts w:ascii="Arial" w:eastAsia="Arial" w:hAnsi="Arial" w:cs="Arial"/>
          <w:b/>
          <w:color w:val="000000"/>
          <w:sz w:val="20"/>
          <w:szCs w:val="20"/>
        </w:rPr>
        <w:t>: Set-4 parameters for link budget analysis</w:t>
      </w:r>
    </w:p>
    <w:tbl>
      <w:tblPr>
        <w:tblStyle w:val="afffd"/>
        <w:tblW w:w="7758" w:type="dxa"/>
        <w:jc w:val="center"/>
        <w:tblInd w:w="0" w:type="dxa"/>
        <w:tblLayout w:type="fixed"/>
        <w:tblLook w:val="0400" w:firstRow="0" w:lastRow="0" w:firstColumn="0" w:lastColumn="0" w:noHBand="0" w:noVBand="1"/>
      </w:tblPr>
      <w:tblGrid>
        <w:gridCol w:w="4642"/>
        <w:gridCol w:w="3116"/>
      </w:tblGrid>
      <w:tr w:rsidR="00874EF4">
        <w:trPr>
          <w:jc w:val="center"/>
        </w:trPr>
        <w:tc>
          <w:tcPr>
            <w:tcW w:w="4642" w:type="dxa"/>
            <w:tcBorders>
              <w:top w:val="single" w:sz="8" w:space="0" w:color="000000"/>
              <w:left w:val="single" w:sz="8" w:space="0" w:color="000000"/>
              <w:bottom w:val="single" w:sz="8" w:space="0" w:color="000000"/>
              <w:right w:val="single" w:sz="8" w:space="0" w:color="000000"/>
            </w:tcBorders>
            <w:shd w:val="clear" w:color="auto" w:fill="DEEAF6"/>
            <w:tcMar>
              <w:top w:w="0" w:type="dxa"/>
              <w:left w:w="108" w:type="dxa"/>
              <w:bottom w:w="0" w:type="dxa"/>
              <w:right w:w="108" w:type="dxa"/>
            </w:tcMar>
          </w:tcPr>
          <w:p w:rsidR="00874EF4" w:rsidRDefault="001007D7">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S</w:t>
            </w:r>
            <w:r>
              <w:rPr>
                <w:rFonts w:ascii="Arial" w:eastAsia="Arial" w:hAnsi="Arial" w:cs="Arial"/>
                <w:b/>
                <w:sz w:val="18"/>
                <w:szCs w:val="18"/>
              </w:rPr>
              <w:t>et-</w:t>
            </w:r>
            <w:r>
              <w:rPr>
                <w:rFonts w:ascii="Arial" w:eastAsia="Arial" w:hAnsi="Arial" w:cs="Arial"/>
                <w:b/>
                <w:color w:val="000000"/>
                <w:sz w:val="18"/>
                <w:szCs w:val="18"/>
              </w:rPr>
              <w:t xml:space="preserve">4 </w:t>
            </w:r>
          </w:p>
        </w:tc>
        <w:tc>
          <w:tcPr>
            <w:tcW w:w="3116" w:type="dxa"/>
            <w:tcBorders>
              <w:top w:val="single" w:sz="8" w:space="0" w:color="000000"/>
              <w:left w:val="nil"/>
              <w:bottom w:val="single" w:sz="8" w:space="0" w:color="000000"/>
              <w:right w:val="single" w:sz="8" w:space="0" w:color="000000"/>
            </w:tcBorders>
            <w:shd w:val="clear" w:color="auto" w:fill="DEEAF6"/>
            <w:tcMar>
              <w:top w:w="0" w:type="dxa"/>
              <w:left w:w="108" w:type="dxa"/>
              <w:bottom w:w="0" w:type="dxa"/>
              <w:right w:w="108" w:type="dxa"/>
            </w:tcMar>
          </w:tcPr>
          <w:p w:rsidR="00874EF4" w:rsidRDefault="001007D7">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LEO-600 km</w:t>
            </w:r>
          </w:p>
        </w:tc>
      </w:tr>
      <w:tr w:rsidR="00874EF4">
        <w:trPr>
          <w:jc w:val="center"/>
        </w:trPr>
        <w:tc>
          <w:tcPr>
            <w:tcW w:w="4642" w:type="dxa"/>
            <w:tcBorders>
              <w:top w:val="nil"/>
              <w:left w:val="single" w:sz="8" w:space="0" w:color="000000"/>
              <w:bottom w:val="single" w:sz="8" w:space="0" w:color="000000"/>
              <w:right w:val="single" w:sz="8" w:space="0" w:color="000000"/>
            </w:tcBorders>
            <w:shd w:val="clear" w:color="auto" w:fill="DEEAF6"/>
            <w:tcMar>
              <w:top w:w="0" w:type="dxa"/>
              <w:left w:w="108" w:type="dxa"/>
              <w:bottom w:w="0" w:type="dxa"/>
              <w:right w:w="108" w:type="dxa"/>
            </w:tcMar>
          </w:tcPr>
          <w:p w:rsidR="00874EF4" w:rsidRDefault="001007D7">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3 dB Beam width (HPBW)</w:t>
            </w:r>
          </w:p>
        </w:tc>
        <w:tc>
          <w:tcPr>
            <w:tcW w:w="3116" w:type="dxa"/>
            <w:tcBorders>
              <w:top w:val="nil"/>
              <w:left w:val="nil"/>
              <w:bottom w:val="single" w:sz="8" w:space="0" w:color="000000"/>
              <w:right w:val="single" w:sz="8" w:space="0" w:color="000000"/>
            </w:tcBorders>
            <w:tcMar>
              <w:top w:w="0" w:type="dxa"/>
              <w:left w:w="108" w:type="dxa"/>
              <w:bottom w:w="0" w:type="dxa"/>
              <w:right w:w="108" w:type="dxa"/>
            </w:tcMar>
          </w:tcPr>
          <w:p w:rsidR="00874EF4" w:rsidRDefault="001007D7">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104.7 degree</w:t>
            </w:r>
          </w:p>
        </w:tc>
      </w:tr>
      <w:tr w:rsidR="00874EF4">
        <w:trPr>
          <w:jc w:val="center"/>
        </w:trPr>
        <w:tc>
          <w:tcPr>
            <w:tcW w:w="4642" w:type="dxa"/>
            <w:tcBorders>
              <w:top w:val="nil"/>
              <w:left w:val="single" w:sz="8" w:space="0" w:color="000000"/>
              <w:bottom w:val="single" w:sz="8" w:space="0" w:color="000000"/>
              <w:right w:val="single" w:sz="8" w:space="0" w:color="000000"/>
            </w:tcBorders>
            <w:shd w:val="clear" w:color="auto" w:fill="DEEAF6"/>
            <w:tcMar>
              <w:top w:w="0" w:type="dxa"/>
              <w:left w:w="108" w:type="dxa"/>
              <w:bottom w:w="0" w:type="dxa"/>
              <w:right w:w="108" w:type="dxa"/>
            </w:tcMar>
          </w:tcPr>
          <w:p w:rsidR="00874EF4" w:rsidRDefault="001007D7">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Central beam center elevation</w:t>
            </w:r>
          </w:p>
        </w:tc>
        <w:tc>
          <w:tcPr>
            <w:tcW w:w="3116" w:type="dxa"/>
            <w:tcBorders>
              <w:top w:val="nil"/>
              <w:left w:val="nil"/>
              <w:bottom w:val="single" w:sz="8" w:space="0" w:color="000000"/>
              <w:right w:val="single" w:sz="8" w:space="0" w:color="000000"/>
            </w:tcBorders>
            <w:tcMar>
              <w:top w:w="0" w:type="dxa"/>
              <w:left w:w="108" w:type="dxa"/>
              <w:bottom w:w="0" w:type="dxa"/>
              <w:right w:w="108" w:type="dxa"/>
            </w:tcMar>
          </w:tcPr>
          <w:p w:rsidR="00874EF4" w:rsidRDefault="001007D7">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90 degree</w:t>
            </w:r>
          </w:p>
        </w:tc>
      </w:tr>
      <w:tr w:rsidR="00874EF4">
        <w:trPr>
          <w:jc w:val="center"/>
        </w:trPr>
        <w:tc>
          <w:tcPr>
            <w:tcW w:w="4642" w:type="dxa"/>
            <w:tcBorders>
              <w:top w:val="nil"/>
              <w:left w:val="single" w:sz="8" w:space="0" w:color="000000"/>
              <w:bottom w:val="single" w:sz="8" w:space="0" w:color="000000"/>
              <w:right w:val="single" w:sz="8" w:space="0" w:color="000000"/>
            </w:tcBorders>
            <w:shd w:val="clear" w:color="auto" w:fill="DEEAF6"/>
            <w:tcMar>
              <w:top w:w="0" w:type="dxa"/>
              <w:left w:w="108" w:type="dxa"/>
              <w:bottom w:w="0" w:type="dxa"/>
              <w:right w:w="108" w:type="dxa"/>
            </w:tcMar>
          </w:tcPr>
          <w:p w:rsidR="00874EF4" w:rsidRDefault="001007D7">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Central beam edge elevation</w:t>
            </w:r>
          </w:p>
        </w:tc>
        <w:tc>
          <w:tcPr>
            <w:tcW w:w="3116" w:type="dxa"/>
            <w:tcBorders>
              <w:top w:val="nil"/>
              <w:left w:val="nil"/>
              <w:bottom w:val="single" w:sz="8" w:space="0" w:color="000000"/>
              <w:right w:val="single" w:sz="8" w:space="0" w:color="000000"/>
            </w:tcBorders>
            <w:tcMar>
              <w:top w:w="0" w:type="dxa"/>
              <w:left w:w="108" w:type="dxa"/>
              <w:bottom w:w="0" w:type="dxa"/>
              <w:right w:w="108" w:type="dxa"/>
            </w:tcMar>
          </w:tcPr>
          <w:p w:rsidR="00874EF4" w:rsidRDefault="001007D7">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30 degree</w:t>
            </w:r>
          </w:p>
        </w:tc>
      </w:tr>
      <w:tr w:rsidR="00874EF4">
        <w:trPr>
          <w:jc w:val="center"/>
        </w:trPr>
        <w:tc>
          <w:tcPr>
            <w:tcW w:w="4642" w:type="dxa"/>
            <w:tcBorders>
              <w:top w:val="nil"/>
              <w:left w:val="single" w:sz="8" w:space="0" w:color="000000"/>
              <w:bottom w:val="single" w:sz="8" w:space="0" w:color="000000"/>
              <w:right w:val="single" w:sz="8" w:space="0" w:color="000000"/>
            </w:tcBorders>
            <w:shd w:val="clear" w:color="auto" w:fill="DEEAF6"/>
            <w:tcMar>
              <w:top w:w="0" w:type="dxa"/>
              <w:left w:w="108" w:type="dxa"/>
              <w:bottom w:w="0" w:type="dxa"/>
              <w:right w:w="108" w:type="dxa"/>
            </w:tcMar>
          </w:tcPr>
          <w:p w:rsidR="00874EF4" w:rsidRDefault="001007D7">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Central beam edge satellite-UE distance</w:t>
            </w:r>
          </w:p>
        </w:tc>
        <w:tc>
          <w:tcPr>
            <w:tcW w:w="3116" w:type="dxa"/>
            <w:tcBorders>
              <w:top w:val="nil"/>
              <w:left w:val="nil"/>
              <w:bottom w:val="single" w:sz="8" w:space="0" w:color="000000"/>
              <w:right w:val="single" w:sz="8" w:space="0" w:color="000000"/>
            </w:tcBorders>
            <w:tcMar>
              <w:top w:w="0" w:type="dxa"/>
              <w:left w:w="108" w:type="dxa"/>
              <w:bottom w:w="0" w:type="dxa"/>
              <w:right w:w="108" w:type="dxa"/>
            </w:tcMar>
          </w:tcPr>
          <w:p w:rsidR="00874EF4" w:rsidRDefault="001007D7">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1076 km</w:t>
            </w:r>
          </w:p>
        </w:tc>
      </w:tr>
    </w:tbl>
    <w:p w:rsidR="00874EF4" w:rsidRDefault="00874EF4">
      <w:pPr>
        <w:keepLines/>
        <w:pBdr>
          <w:top w:val="nil"/>
          <w:left w:val="nil"/>
          <w:bottom w:val="nil"/>
          <w:right w:val="nil"/>
          <w:between w:val="nil"/>
        </w:pBdr>
        <w:spacing w:before="0"/>
        <w:jc w:val="left"/>
        <w:rPr>
          <w:color w:val="000000"/>
          <w:sz w:val="20"/>
          <w:szCs w:val="20"/>
        </w:rPr>
      </w:pPr>
    </w:p>
    <w:p w:rsidR="00874EF4" w:rsidRDefault="00874EF4"/>
    <w:p w:rsidR="00874EF4" w:rsidRDefault="001007D7">
      <w:pPr>
        <w:pStyle w:val="Ttulo2"/>
        <w:numPr>
          <w:ilvl w:val="1"/>
          <w:numId w:val="5"/>
        </w:numPr>
      </w:pPr>
      <w:r>
        <w:t>Single-beam layout scenario based on Set-4</w:t>
      </w:r>
    </w:p>
    <w:p w:rsidR="00874EF4" w:rsidRDefault="001007D7">
      <w:r>
        <w:t>Based on Set-4 parameters, the scenario evaluated in this document corresponds to a large, single-beam layout configuration, as initially proposed in [2] “</w:t>
      </w:r>
      <w:r>
        <w:rPr>
          <w:i/>
        </w:rPr>
        <w:t xml:space="preserve">Feasibility of the large, single-beam small </w:t>
      </w:r>
      <w:proofErr w:type="spellStart"/>
      <w:r>
        <w:rPr>
          <w:i/>
        </w:rPr>
        <w:t>sats</w:t>
      </w:r>
      <w:proofErr w:type="spellEnd"/>
      <w:r>
        <w:rPr>
          <w:i/>
        </w:rPr>
        <w:t xml:space="preserve"> / CubeSats scenario</w:t>
      </w:r>
      <w:r>
        <w:t>”. A graphical representation of this scenario is depicted in Figure 1.</w:t>
      </w:r>
    </w:p>
    <w:p w:rsidR="00874EF4" w:rsidRDefault="001007D7">
      <w:r>
        <w:t xml:space="preserve">The beam is assumed to be pointed at Nadir. The HPBW of the satellite antenna in the direction orthogonal to the movement of the satellite, referred to as Horizontal HPBW (H-HPBW), is assumed to be 104.7 degrees. The HPBW of the satellite antenna in the direction of the satellite orbital movement, referred to as Vertical HPBW (V-HPBW), is assumed to be narrower than the H-HPBW. </w:t>
      </w:r>
    </w:p>
    <w:p w:rsidR="00874EF4" w:rsidRDefault="001007D7">
      <w:pPr>
        <w:jc w:val="center"/>
      </w:pPr>
      <w:r w:rsidRPr="001007D7">
        <w:rPr>
          <w:noProof/>
        </w:rPr>
        <w:lastRenderedPageBreak/>
        <w:drawing>
          <wp:inline distT="0" distB="0" distL="0" distR="0">
            <wp:extent cx="5029200" cy="262890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29200" cy="2628900"/>
                    </a:xfrm>
                    <a:prstGeom prst="rect">
                      <a:avLst/>
                    </a:prstGeom>
                    <a:noFill/>
                    <a:ln>
                      <a:noFill/>
                    </a:ln>
                  </pic:spPr>
                </pic:pic>
              </a:graphicData>
            </a:graphic>
          </wp:inline>
        </w:drawing>
      </w:r>
    </w:p>
    <w:p w:rsidR="00874EF4" w:rsidRDefault="001007D7">
      <w:pPr>
        <w:jc w:val="center"/>
        <w:rPr>
          <w:b/>
        </w:rPr>
      </w:pPr>
      <w:r>
        <w:rPr>
          <w:b/>
        </w:rPr>
        <w:t xml:space="preserve">Figure 1 - </w:t>
      </w:r>
      <w:r>
        <w:t>Large, single-beam scenario based on Set-4 parameters.</w:t>
      </w:r>
    </w:p>
    <w:p w:rsidR="00874EF4" w:rsidRDefault="00874EF4">
      <w:pPr>
        <w:jc w:val="center"/>
        <w:rPr>
          <w:b/>
        </w:rPr>
      </w:pPr>
    </w:p>
    <w:p w:rsidR="00874EF4" w:rsidRDefault="001007D7">
      <w:pPr>
        <w:jc w:val="left"/>
      </w:pPr>
      <w:r>
        <w:t>Based on the consideration of this scenario, the following proposal is made:</w:t>
      </w:r>
    </w:p>
    <w:p w:rsidR="00874EF4" w:rsidRDefault="001007D7">
      <w:pPr>
        <w:numPr>
          <w:ilvl w:val="0"/>
          <w:numId w:val="6"/>
        </w:numPr>
      </w:pPr>
      <w:r>
        <w:rPr>
          <w:b/>
        </w:rPr>
        <w:t>Proposal 1:</w:t>
      </w:r>
      <w:r>
        <w:t xml:space="preserve"> Revise the “</w:t>
      </w:r>
      <w:r w:rsidRPr="00304216">
        <w:rPr>
          <w:i/>
        </w:rPr>
        <w:t>Max beam footprint size (edge to edge) regardless of the elevation angle</w:t>
      </w:r>
      <w:r>
        <w:t xml:space="preserve">” parameter </w:t>
      </w:r>
      <w:r w:rsidR="00304216">
        <w:t xml:space="preserve">for LEO scenarios </w:t>
      </w:r>
      <w:r>
        <w:t xml:space="preserve">indicated in 3GPP TR 36.763 V0.1.0 Table 6.1-1: “IoT NTN reference scenario parameters” to 1700 km (currently </w:t>
      </w:r>
      <w:r w:rsidR="00304216">
        <w:t>the parameter</w:t>
      </w:r>
      <w:r>
        <w:t xml:space="preserve"> is set to 1000 km</w:t>
      </w:r>
      <w:r w:rsidR="00304216">
        <w:t xml:space="preserve"> for LEO scenarios</w:t>
      </w:r>
      <w:r>
        <w:t xml:space="preserve">). </w:t>
      </w:r>
    </w:p>
    <w:p w:rsidR="00874EF4" w:rsidRDefault="001007D7">
      <w:r>
        <w:t xml:space="preserve">Note this </w:t>
      </w:r>
      <w:r w:rsidR="00304216">
        <w:t xml:space="preserve">proposed </w:t>
      </w:r>
      <w:r>
        <w:t xml:space="preserve">modification does not </w:t>
      </w:r>
      <w:r w:rsidR="00304216">
        <w:t xml:space="preserve">have any </w:t>
      </w:r>
      <w:r>
        <w:t xml:space="preserve">impact on the rest of parameters in </w:t>
      </w:r>
      <w:r w:rsidR="00304216">
        <w:t xml:space="preserve">3GPP TR 36.763 V0.1.0 </w:t>
      </w:r>
      <w:r>
        <w:t xml:space="preserve">Table 6.1-1, in particular “max distance between satellite and C-IoT device at min elevation angle”, “Max Round Trip Delay (propagation delay only)”, “Max differential delay within a cell”, “Max Doppler shift (earth fixed user equipment) (NOTE 6)”, and “Max Doppler shift variation (earth fixed user equipment) (NOTE 6)”, because they were obtained from the consideration of an elevation angle of 10 degrees. </w:t>
      </w:r>
    </w:p>
    <w:p w:rsidR="00874EF4" w:rsidRDefault="001007D7">
      <w:pPr>
        <w:pStyle w:val="Ttulo1"/>
        <w:numPr>
          <w:ilvl w:val="0"/>
          <w:numId w:val="5"/>
        </w:numPr>
      </w:pPr>
      <w:bookmarkStart w:id="3" w:name="_heading=h.35nkun2" w:colFirst="0" w:colLast="0"/>
      <w:bookmarkEnd w:id="3"/>
      <w:r>
        <w:t>Link budget analysis</w:t>
      </w:r>
    </w:p>
    <w:p w:rsidR="00874EF4" w:rsidRDefault="001007D7">
      <w:pPr>
        <w:pStyle w:val="Ttulo2"/>
        <w:numPr>
          <w:ilvl w:val="1"/>
          <w:numId w:val="5"/>
        </w:numPr>
      </w:pPr>
      <w:r>
        <w:t>Assumptions</w:t>
      </w:r>
    </w:p>
    <w:p w:rsidR="00874EF4" w:rsidRDefault="001007D7">
      <w:r>
        <w:t>Two configurations considered:</w:t>
      </w:r>
    </w:p>
    <w:p w:rsidR="00874EF4" w:rsidRDefault="001007D7">
      <w:pPr>
        <w:numPr>
          <w:ilvl w:val="0"/>
          <w:numId w:val="4"/>
        </w:numPr>
        <w:pBdr>
          <w:top w:val="nil"/>
          <w:left w:val="nil"/>
          <w:bottom w:val="nil"/>
          <w:right w:val="nil"/>
          <w:between w:val="nil"/>
        </w:pBdr>
        <w:spacing w:before="0"/>
        <w:jc w:val="left"/>
        <w:rPr>
          <w:sz w:val="24"/>
          <w:szCs w:val="24"/>
        </w:rPr>
      </w:pPr>
      <w:r>
        <w:rPr>
          <w:b/>
          <w:color w:val="000000"/>
        </w:rPr>
        <w:t>Configuration A</w:t>
      </w:r>
      <w:r>
        <w:rPr>
          <w:color w:val="000000"/>
        </w:rPr>
        <w:t xml:space="preserve">, based on the </w:t>
      </w:r>
      <w:r>
        <w:t>common set of link budget parameters</w:t>
      </w:r>
      <w:r>
        <w:rPr>
          <w:color w:val="000000"/>
        </w:rPr>
        <w:t xml:space="preserve"> </w:t>
      </w:r>
      <w:r>
        <w:t>captured</w:t>
      </w:r>
      <w:r>
        <w:rPr>
          <w:color w:val="000000"/>
        </w:rPr>
        <w:t xml:space="preserve"> in TR 36.763 v0.1</w:t>
      </w:r>
      <w:r>
        <w:t>.0</w:t>
      </w:r>
    </w:p>
    <w:p w:rsidR="00874EF4" w:rsidRDefault="001007D7">
      <w:pPr>
        <w:numPr>
          <w:ilvl w:val="0"/>
          <w:numId w:val="4"/>
        </w:numPr>
        <w:pBdr>
          <w:top w:val="nil"/>
          <w:left w:val="nil"/>
          <w:bottom w:val="nil"/>
          <w:right w:val="nil"/>
          <w:between w:val="nil"/>
        </w:pBdr>
        <w:spacing w:before="0"/>
        <w:jc w:val="left"/>
        <w:rPr>
          <w:sz w:val="24"/>
          <w:szCs w:val="24"/>
        </w:rPr>
      </w:pPr>
      <w:r>
        <w:rPr>
          <w:b/>
          <w:color w:val="000000"/>
        </w:rPr>
        <w:t>Configuration B</w:t>
      </w:r>
      <w:r>
        <w:rPr>
          <w:color w:val="000000"/>
        </w:rPr>
        <w:t xml:space="preserve">, </w:t>
      </w:r>
      <w:r>
        <w:t>based on the common set of link budget parameters captured in TR 36.763 v0.1.0 with some possible</w:t>
      </w:r>
      <w:r>
        <w:rPr>
          <w:color w:val="000000"/>
        </w:rPr>
        <w:t xml:space="preserve"> enhancements </w:t>
      </w:r>
      <w:r>
        <w:t>in achievable transmit power and noise figures</w:t>
      </w:r>
      <w:r>
        <w:rPr>
          <w:color w:val="000000"/>
        </w:rPr>
        <w:t>.</w:t>
      </w:r>
    </w:p>
    <w:p w:rsidR="00874EF4" w:rsidRDefault="00874EF4">
      <w:pPr>
        <w:pBdr>
          <w:top w:val="nil"/>
          <w:left w:val="nil"/>
          <w:bottom w:val="nil"/>
          <w:right w:val="nil"/>
          <w:between w:val="nil"/>
        </w:pBdr>
        <w:spacing w:before="0"/>
        <w:jc w:val="left"/>
      </w:pPr>
    </w:p>
    <w:p w:rsidR="00874EF4" w:rsidRDefault="00874EF4"/>
    <w:tbl>
      <w:tblPr>
        <w:tblStyle w:val="afffe"/>
        <w:tblW w:w="9628"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8"/>
        <w:gridCol w:w="2551"/>
        <w:gridCol w:w="2835"/>
        <w:gridCol w:w="2824"/>
      </w:tblGrid>
      <w:tr w:rsidR="00874EF4">
        <w:trPr>
          <w:jc w:val="center"/>
        </w:trPr>
        <w:tc>
          <w:tcPr>
            <w:tcW w:w="1418" w:type="dxa"/>
            <w:tcBorders>
              <w:top w:val="nil"/>
              <w:left w:val="nil"/>
              <w:bottom w:val="single" w:sz="4" w:space="0" w:color="000000"/>
              <w:right w:val="nil"/>
            </w:tcBorders>
            <w:shd w:val="clear" w:color="auto" w:fill="FFFFFF"/>
          </w:tcPr>
          <w:p w:rsidR="00874EF4" w:rsidRDefault="00874EF4"/>
        </w:tc>
        <w:tc>
          <w:tcPr>
            <w:tcW w:w="2551" w:type="dxa"/>
            <w:tcBorders>
              <w:top w:val="nil"/>
              <w:left w:val="nil"/>
              <w:bottom w:val="single" w:sz="4" w:space="0" w:color="000000"/>
              <w:right w:val="single" w:sz="4" w:space="0" w:color="000000"/>
            </w:tcBorders>
            <w:shd w:val="clear" w:color="auto" w:fill="FFFFFF"/>
            <w:vAlign w:val="center"/>
          </w:tcPr>
          <w:p w:rsidR="00874EF4" w:rsidRDefault="00874EF4"/>
        </w:tc>
        <w:tc>
          <w:tcPr>
            <w:tcW w:w="2835" w:type="dxa"/>
            <w:tcBorders>
              <w:left w:val="single" w:sz="4" w:space="0" w:color="000000"/>
            </w:tcBorders>
            <w:shd w:val="clear" w:color="auto" w:fill="B8CCE4"/>
            <w:vAlign w:val="center"/>
          </w:tcPr>
          <w:p w:rsidR="00874EF4" w:rsidRDefault="001007D7">
            <w:pPr>
              <w:rPr>
                <w:b/>
              </w:rPr>
            </w:pPr>
            <w:r>
              <w:rPr>
                <w:b/>
              </w:rPr>
              <w:t>Configuration A</w:t>
            </w:r>
          </w:p>
          <w:p w:rsidR="00874EF4" w:rsidRDefault="001007D7">
            <w:r>
              <w:t xml:space="preserve">(Based on </w:t>
            </w:r>
            <w:proofErr w:type="gramStart"/>
            <w:r>
              <w:t>common  assumptions</w:t>
            </w:r>
            <w:proofErr w:type="gramEnd"/>
            <w:r>
              <w:t xml:space="preserve"> in TR 36.763 v0.1.0 section 6.2.1)</w:t>
            </w:r>
          </w:p>
        </w:tc>
        <w:tc>
          <w:tcPr>
            <w:tcW w:w="2824" w:type="dxa"/>
            <w:shd w:val="clear" w:color="auto" w:fill="B8CCE4"/>
          </w:tcPr>
          <w:p w:rsidR="00874EF4" w:rsidRDefault="001007D7">
            <w:pPr>
              <w:rPr>
                <w:b/>
              </w:rPr>
            </w:pPr>
            <w:r>
              <w:rPr>
                <w:b/>
              </w:rPr>
              <w:t>Configuration B</w:t>
            </w:r>
          </w:p>
          <w:p w:rsidR="00874EF4" w:rsidRDefault="001007D7">
            <w:r>
              <w:t>(common assumptions + some enhancements - marked in bold</w:t>
            </w:r>
            <w:bookmarkStart w:id="4" w:name="_GoBack"/>
            <w:bookmarkEnd w:id="4"/>
            <w:r>
              <w:t>)</w:t>
            </w:r>
          </w:p>
          <w:p w:rsidR="00874EF4" w:rsidRDefault="00874EF4"/>
        </w:tc>
      </w:tr>
      <w:tr w:rsidR="00874EF4">
        <w:trPr>
          <w:jc w:val="center"/>
        </w:trPr>
        <w:tc>
          <w:tcPr>
            <w:tcW w:w="1418" w:type="dxa"/>
            <w:vMerge w:val="restart"/>
            <w:tcBorders>
              <w:top w:val="single" w:sz="4" w:space="0" w:color="000000"/>
            </w:tcBorders>
            <w:shd w:val="clear" w:color="auto" w:fill="B8CCE4"/>
          </w:tcPr>
          <w:p w:rsidR="00874EF4" w:rsidRDefault="001007D7">
            <w:r>
              <w:t>Satellite platform</w:t>
            </w:r>
          </w:p>
        </w:tc>
        <w:tc>
          <w:tcPr>
            <w:tcW w:w="2551" w:type="dxa"/>
            <w:tcBorders>
              <w:top w:val="single" w:sz="4" w:space="0" w:color="000000"/>
            </w:tcBorders>
            <w:shd w:val="clear" w:color="auto" w:fill="B8CCE4"/>
            <w:vAlign w:val="center"/>
          </w:tcPr>
          <w:p w:rsidR="00874EF4" w:rsidRDefault="001007D7">
            <w:r>
              <w:t>Altitude</w:t>
            </w:r>
          </w:p>
        </w:tc>
        <w:tc>
          <w:tcPr>
            <w:tcW w:w="2835" w:type="dxa"/>
            <w:vAlign w:val="center"/>
          </w:tcPr>
          <w:p w:rsidR="00874EF4" w:rsidRDefault="001007D7">
            <w:r>
              <w:t>600 km, circular orbit</w:t>
            </w:r>
          </w:p>
        </w:tc>
        <w:tc>
          <w:tcPr>
            <w:tcW w:w="2824" w:type="dxa"/>
          </w:tcPr>
          <w:p w:rsidR="00874EF4" w:rsidRDefault="001007D7">
            <w:r>
              <w:t>600 km, circular orbit</w:t>
            </w:r>
          </w:p>
        </w:tc>
      </w:tr>
      <w:tr w:rsidR="00874EF4">
        <w:trPr>
          <w:jc w:val="center"/>
        </w:trPr>
        <w:tc>
          <w:tcPr>
            <w:tcW w:w="1418" w:type="dxa"/>
            <w:vMerge/>
            <w:tcBorders>
              <w:top w:val="single" w:sz="4" w:space="0" w:color="000000"/>
            </w:tcBorders>
            <w:shd w:val="clear" w:color="auto" w:fill="B8CCE4"/>
          </w:tcPr>
          <w:p w:rsidR="00874EF4" w:rsidRDefault="00874EF4">
            <w:pPr>
              <w:widowControl w:val="0"/>
              <w:pBdr>
                <w:top w:val="nil"/>
                <w:left w:val="nil"/>
                <w:bottom w:val="nil"/>
                <w:right w:val="nil"/>
                <w:between w:val="nil"/>
              </w:pBdr>
              <w:spacing w:line="276" w:lineRule="auto"/>
            </w:pPr>
          </w:p>
        </w:tc>
        <w:tc>
          <w:tcPr>
            <w:tcW w:w="2551" w:type="dxa"/>
            <w:shd w:val="clear" w:color="auto" w:fill="B8CCE4"/>
            <w:vAlign w:val="center"/>
          </w:tcPr>
          <w:p w:rsidR="00874EF4" w:rsidRDefault="001007D7">
            <w:r>
              <w:t>Transmit power</w:t>
            </w:r>
          </w:p>
        </w:tc>
        <w:tc>
          <w:tcPr>
            <w:tcW w:w="2835" w:type="dxa"/>
            <w:vAlign w:val="center"/>
          </w:tcPr>
          <w:p w:rsidR="00874EF4" w:rsidRDefault="001007D7">
            <w:r>
              <w:t>33 dBm</w:t>
            </w:r>
          </w:p>
        </w:tc>
        <w:tc>
          <w:tcPr>
            <w:tcW w:w="2824" w:type="dxa"/>
          </w:tcPr>
          <w:p w:rsidR="00874EF4" w:rsidRDefault="001007D7">
            <w:pPr>
              <w:rPr>
                <w:b/>
              </w:rPr>
            </w:pPr>
            <w:r>
              <w:rPr>
                <w:b/>
              </w:rPr>
              <w:t>36 dBm</w:t>
            </w:r>
          </w:p>
        </w:tc>
      </w:tr>
      <w:tr w:rsidR="00874EF4">
        <w:trPr>
          <w:jc w:val="center"/>
        </w:trPr>
        <w:tc>
          <w:tcPr>
            <w:tcW w:w="1418" w:type="dxa"/>
            <w:vMerge/>
            <w:tcBorders>
              <w:top w:val="single" w:sz="4" w:space="0" w:color="000000"/>
            </w:tcBorders>
            <w:shd w:val="clear" w:color="auto" w:fill="B8CCE4"/>
          </w:tcPr>
          <w:p w:rsidR="00874EF4" w:rsidRDefault="00874EF4">
            <w:pPr>
              <w:widowControl w:val="0"/>
              <w:pBdr>
                <w:top w:val="nil"/>
                <w:left w:val="nil"/>
                <w:bottom w:val="nil"/>
                <w:right w:val="nil"/>
                <w:between w:val="nil"/>
              </w:pBdr>
              <w:spacing w:line="276" w:lineRule="auto"/>
              <w:rPr>
                <w:b/>
              </w:rPr>
            </w:pPr>
          </w:p>
        </w:tc>
        <w:tc>
          <w:tcPr>
            <w:tcW w:w="2551" w:type="dxa"/>
            <w:shd w:val="clear" w:color="auto" w:fill="B8CCE4"/>
            <w:vAlign w:val="center"/>
          </w:tcPr>
          <w:p w:rsidR="00874EF4" w:rsidRDefault="001007D7">
            <w:r>
              <w:t>Tx/Rx Antenna Gain</w:t>
            </w:r>
          </w:p>
        </w:tc>
        <w:tc>
          <w:tcPr>
            <w:tcW w:w="2835" w:type="dxa"/>
            <w:vAlign w:val="center"/>
          </w:tcPr>
          <w:p w:rsidR="00874EF4" w:rsidRDefault="001007D7">
            <w:r>
              <w:t xml:space="preserve">11 </w:t>
            </w:r>
            <w:proofErr w:type="spellStart"/>
            <w:r>
              <w:t>dBi</w:t>
            </w:r>
            <w:proofErr w:type="spellEnd"/>
          </w:p>
        </w:tc>
        <w:tc>
          <w:tcPr>
            <w:tcW w:w="2824" w:type="dxa"/>
          </w:tcPr>
          <w:p w:rsidR="00874EF4" w:rsidRDefault="001007D7">
            <w:r>
              <w:t xml:space="preserve">11 </w:t>
            </w:r>
            <w:proofErr w:type="spellStart"/>
            <w:r>
              <w:t>dBi</w:t>
            </w:r>
            <w:proofErr w:type="spellEnd"/>
          </w:p>
        </w:tc>
      </w:tr>
      <w:tr w:rsidR="00874EF4">
        <w:trPr>
          <w:jc w:val="center"/>
        </w:trPr>
        <w:tc>
          <w:tcPr>
            <w:tcW w:w="1418" w:type="dxa"/>
            <w:vMerge/>
            <w:tcBorders>
              <w:top w:val="single" w:sz="4" w:space="0" w:color="000000"/>
            </w:tcBorders>
            <w:shd w:val="clear" w:color="auto" w:fill="B8CCE4"/>
          </w:tcPr>
          <w:p w:rsidR="00874EF4" w:rsidRDefault="00874EF4">
            <w:pPr>
              <w:widowControl w:val="0"/>
              <w:pBdr>
                <w:top w:val="nil"/>
                <w:left w:val="nil"/>
                <w:bottom w:val="nil"/>
                <w:right w:val="nil"/>
                <w:between w:val="nil"/>
              </w:pBdr>
              <w:spacing w:line="276" w:lineRule="auto"/>
            </w:pPr>
          </w:p>
        </w:tc>
        <w:tc>
          <w:tcPr>
            <w:tcW w:w="2551" w:type="dxa"/>
            <w:shd w:val="clear" w:color="auto" w:fill="B8CCE4"/>
            <w:vAlign w:val="center"/>
          </w:tcPr>
          <w:p w:rsidR="00874EF4" w:rsidRDefault="001007D7">
            <w:r>
              <w:t xml:space="preserve">H-HPBW </w:t>
            </w:r>
          </w:p>
        </w:tc>
        <w:tc>
          <w:tcPr>
            <w:tcW w:w="2835" w:type="dxa"/>
            <w:vAlign w:val="center"/>
          </w:tcPr>
          <w:p w:rsidR="00874EF4" w:rsidRDefault="001007D7">
            <w:r>
              <w:t>104.7 degrees</w:t>
            </w:r>
          </w:p>
        </w:tc>
        <w:tc>
          <w:tcPr>
            <w:tcW w:w="2824" w:type="dxa"/>
            <w:vAlign w:val="center"/>
          </w:tcPr>
          <w:p w:rsidR="00874EF4" w:rsidRDefault="001007D7">
            <w:r>
              <w:t>104.7 degrees</w:t>
            </w:r>
          </w:p>
        </w:tc>
      </w:tr>
      <w:tr w:rsidR="00874EF4">
        <w:trPr>
          <w:jc w:val="center"/>
        </w:trPr>
        <w:tc>
          <w:tcPr>
            <w:tcW w:w="1418" w:type="dxa"/>
            <w:vMerge/>
            <w:tcBorders>
              <w:top w:val="single" w:sz="4" w:space="0" w:color="000000"/>
            </w:tcBorders>
            <w:shd w:val="clear" w:color="auto" w:fill="B8CCE4"/>
          </w:tcPr>
          <w:p w:rsidR="00874EF4" w:rsidRDefault="00874EF4">
            <w:pPr>
              <w:widowControl w:val="0"/>
              <w:pBdr>
                <w:top w:val="nil"/>
                <w:left w:val="nil"/>
                <w:bottom w:val="nil"/>
                <w:right w:val="nil"/>
                <w:between w:val="nil"/>
              </w:pBdr>
              <w:spacing w:line="276" w:lineRule="auto"/>
            </w:pPr>
          </w:p>
        </w:tc>
        <w:tc>
          <w:tcPr>
            <w:tcW w:w="2551" w:type="dxa"/>
            <w:shd w:val="clear" w:color="auto" w:fill="B8CCE4"/>
            <w:vAlign w:val="center"/>
          </w:tcPr>
          <w:p w:rsidR="00874EF4" w:rsidRDefault="001007D7">
            <w:r>
              <w:t>V-HPBW</w:t>
            </w:r>
          </w:p>
        </w:tc>
        <w:tc>
          <w:tcPr>
            <w:tcW w:w="2835" w:type="dxa"/>
            <w:vAlign w:val="center"/>
          </w:tcPr>
          <w:p w:rsidR="00874EF4" w:rsidRDefault="001007D7">
            <w:r>
              <w:t>40 degrees</w:t>
            </w:r>
          </w:p>
        </w:tc>
        <w:tc>
          <w:tcPr>
            <w:tcW w:w="2824" w:type="dxa"/>
            <w:vAlign w:val="center"/>
          </w:tcPr>
          <w:p w:rsidR="00874EF4" w:rsidRDefault="001007D7">
            <w:r>
              <w:t>40 degrees</w:t>
            </w:r>
          </w:p>
        </w:tc>
      </w:tr>
      <w:tr w:rsidR="00874EF4">
        <w:trPr>
          <w:jc w:val="center"/>
        </w:trPr>
        <w:tc>
          <w:tcPr>
            <w:tcW w:w="1418" w:type="dxa"/>
            <w:vMerge/>
            <w:tcBorders>
              <w:top w:val="single" w:sz="4" w:space="0" w:color="000000"/>
            </w:tcBorders>
            <w:shd w:val="clear" w:color="auto" w:fill="B8CCE4"/>
          </w:tcPr>
          <w:p w:rsidR="00874EF4" w:rsidRDefault="00874EF4">
            <w:pPr>
              <w:widowControl w:val="0"/>
              <w:pBdr>
                <w:top w:val="nil"/>
                <w:left w:val="nil"/>
                <w:bottom w:val="nil"/>
                <w:right w:val="nil"/>
                <w:between w:val="nil"/>
              </w:pBdr>
              <w:spacing w:line="276" w:lineRule="auto"/>
            </w:pPr>
          </w:p>
        </w:tc>
        <w:tc>
          <w:tcPr>
            <w:tcW w:w="2551" w:type="dxa"/>
            <w:shd w:val="clear" w:color="auto" w:fill="B8CCE4"/>
            <w:vAlign w:val="center"/>
          </w:tcPr>
          <w:p w:rsidR="00874EF4" w:rsidRDefault="001007D7">
            <w:r>
              <w:t>Antenna polarization</w:t>
            </w:r>
          </w:p>
        </w:tc>
        <w:tc>
          <w:tcPr>
            <w:tcW w:w="2835" w:type="dxa"/>
            <w:vAlign w:val="center"/>
          </w:tcPr>
          <w:p w:rsidR="00874EF4" w:rsidRDefault="001007D7">
            <w:r>
              <w:t>Circular</w:t>
            </w:r>
          </w:p>
        </w:tc>
        <w:tc>
          <w:tcPr>
            <w:tcW w:w="2824" w:type="dxa"/>
          </w:tcPr>
          <w:p w:rsidR="00874EF4" w:rsidRDefault="001007D7">
            <w:r>
              <w:t>Circular</w:t>
            </w:r>
          </w:p>
        </w:tc>
      </w:tr>
      <w:tr w:rsidR="00874EF4">
        <w:trPr>
          <w:jc w:val="center"/>
        </w:trPr>
        <w:tc>
          <w:tcPr>
            <w:tcW w:w="1418" w:type="dxa"/>
            <w:vMerge/>
            <w:tcBorders>
              <w:top w:val="single" w:sz="4" w:space="0" w:color="000000"/>
            </w:tcBorders>
            <w:shd w:val="clear" w:color="auto" w:fill="B8CCE4"/>
          </w:tcPr>
          <w:p w:rsidR="00874EF4" w:rsidRDefault="00874EF4">
            <w:pPr>
              <w:widowControl w:val="0"/>
              <w:pBdr>
                <w:top w:val="nil"/>
                <w:left w:val="nil"/>
                <w:bottom w:val="nil"/>
                <w:right w:val="nil"/>
                <w:between w:val="nil"/>
              </w:pBdr>
              <w:spacing w:line="276" w:lineRule="auto"/>
            </w:pPr>
          </w:p>
        </w:tc>
        <w:tc>
          <w:tcPr>
            <w:tcW w:w="2551" w:type="dxa"/>
            <w:shd w:val="clear" w:color="auto" w:fill="B8CCE4"/>
            <w:vAlign w:val="center"/>
          </w:tcPr>
          <w:p w:rsidR="00874EF4" w:rsidRDefault="001007D7">
            <w:r>
              <w:t>Antenna temperature</w:t>
            </w:r>
          </w:p>
        </w:tc>
        <w:tc>
          <w:tcPr>
            <w:tcW w:w="2835" w:type="dxa"/>
            <w:vAlign w:val="center"/>
          </w:tcPr>
          <w:p w:rsidR="00874EF4" w:rsidRDefault="001007D7">
            <w:r>
              <w:t>290 K</w:t>
            </w:r>
          </w:p>
        </w:tc>
        <w:tc>
          <w:tcPr>
            <w:tcW w:w="2824" w:type="dxa"/>
          </w:tcPr>
          <w:p w:rsidR="00874EF4" w:rsidRDefault="001007D7">
            <w:r>
              <w:t>290 K</w:t>
            </w:r>
          </w:p>
        </w:tc>
      </w:tr>
      <w:tr w:rsidR="00874EF4">
        <w:trPr>
          <w:jc w:val="center"/>
        </w:trPr>
        <w:tc>
          <w:tcPr>
            <w:tcW w:w="1418" w:type="dxa"/>
            <w:vMerge/>
            <w:tcBorders>
              <w:top w:val="single" w:sz="4" w:space="0" w:color="000000"/>
            </w:tcBorders>
            <w:shd w:val="clear" w:color="auto" w:fill="B8CCE4"/>
          </w:tcPr>
          <w:p w:rsidR="00874EF4" w:rsidRDefault="00874EF4">
            <w:pPr>
              <w:widowControl w:val="0"/>
              <w:pBdr>
                <w:top w:val="nil"/>
                <w:left w:val="nil"/>
                <w:bottom w:val="nil"/>
                <w:right w:val="nil"/>
                <w:between w:val="nil"/>
              </w:pBdr>
              <w:spacing w:line="276" w:lineRule="auto"/>
            </w:pPr>
          </w:p>
        </w:tc>
        <w:tc>
          <w:tcPr>
            <w:tcW w:w="2551" w:type="dxa"/>
            <w:shd w:val="clear" w:color="auto" w:fill="B8CCE4"/>
            <w:vAlign w:val="center"/>
          </w:tcPr>
          <w:p w:rsidR="00874EF4" w:rsidRDefault="001007D7">
            <w:r>
              <w:t>Noise Figure (NF)</w:t>
            </w:r>
          </w:p>
        </w:tc>
        <w:tc>
          <w:tcPr>
            <w:tcW w:w="2835" w:type="dxa"/>
            <w:vAlign w:val="center"/>
          </w:tcPr>
          <w:p w:rsidR="00874EF4" w:rsidRDefault="001007D7">
            <w:r>
              <w:t>5 dB</w:t>
            </w:r>
          </w:p>
        </w:tc>
        <w:tc>
          <w:tcPr>
            <w:tcW w:w="2824" w:type="dxa"/>
          </w:tcPr>
          <w:p w:rsidR="00874EF4" w:rsidRDefault="001007D7">
            <w:pPr>
              <w:rPr>
                <w:b/>
              </w:rPr>
            </w:pPr>
            <w:r>
              <w:rPr>
                <w:b/>
              </w:rPr>
              <w:t>3 dB</w:t>
            </w:r>
          </w:p>
        </w:tc>
      </w:tr>
      <w:tr w:rsidR="00874EF4">
        <w:trPr>
          <w:jc w:val="center"/>
        </w:trPr>
        <w:tc>
          <w:tcPr>
            <w:tcW w:w="1418" w:type="dxa"/>
            <w:vMerge/>
            <w:tcBorders>
              <w:top w:val="single" w:sz="4" w:space="0" w:color="000000"/>
            </w:tcBorders>
            <w:shd w:val="clear" w:color="auto" w:fill="B8CCE4"/>
          </w:tcPr>
          <w:p w:rsidR="00874EF4" w:rsidRDefault="00874EF4">
            <w:pPr>
              <w:widowControl w:val="0"/>
              <w:pBdr>
                <w:top w:val="nil"/>
                <w:left w:val="nil"/>
                <w:bottom w:val="nil"/>
                <w:right w:val="nil"/>
                <w:between w:val="nil"/>
              </w:pBdr>
              <w:spacing w:line="276" w:lineRule="auto"/>
              <w:rPr>
                <w:b/>
              </w:rPr>
            </w:pPr>
          </w:p>
        </w:tc>
        <w:tc>
          <w:tcPr>
            <w:tcW w:w="2551" w:type="dxa"/>
            <w:shd w:val="clear" w:color="auto" w:fill="B8CCE4"/>
            <w:vAlign w:val="center"/>
          </w:tcPr>
          <w:p w:rsidR="00874EF4" w:rsidRDefault="001007D7">
            <w:r>
              <w:t>G/T</w:t>
            </w:r>
          </w:p>
        </w:tc>
        <w:tc>
          <w:tcPr>
            <w:tcW w:w="2835" w:type="dxa"/>
            <w:vAlign w:val="center"/>
          </w:tcPr>
          <w:p w:rsidR="00874EF4" w:rsidRDefault="001007D7">
            <w:r>
              <w:t>-18.6 dB/K</w:t>
            </w:r>
          </w:p>
        </w:tc>
        <w:tc>
          <w:tcPr>
            <w:tcW w:w="2824" w:type="dxa"/>
          </w:tcPr>
          <w:p w:rsidR="00874EF4" w:rsidRDefault="001007D7">
            <w:pPr>
              <w:rPr>
                <w:b/>
              </w:rPr>
            </w:pPr>
            <w:r>
              <w:rPr>
                <w:b/>
              </w:rPr>
              <w:t>-16.6 dB/K</w:t>
            </w:r>
          </w:p>
        </w:tc>
      </w:tr>
      <w:tr w:rsidR="00874EF4">
        <w:trPr>
          <w:jc w:val="center"/>
        </w:trPr>
        <w:tc>
          <w:tcPr>
            <w:tcW w:w="1418" w:type="dxa"/>
            <w:vMerge w:val="restart"/>
            <w:shd w:val="clear" w:color="auto" w:fill="B8CCE4"/>
          </w:tcPr>
          <w:p w:rsidR="00874EF4" w:rsidRDefault="001007D7">
            <w:r>
              <w:t>IoT device</w:t>
            </w:r>
          </w:p>
        </w:tc>
        <w:tc>
          <w:tcPr>
            <w:tcW w:w="2551" w:type="dxa"/>
            <w:shd w:val="clear" w:color="auto" w:fill="B8CCE4"/>
            <w:vAlign w:val="center"/>
          </w:tcPr>
          <w:p w:rsidR="00874EF4" w:rsidRDefault="001007D7">
            <w:r>
              <w:t xml:space="preserve">Transmit power </w:t>
            </w:r>
          </w:p>
        </w:tc>
        <w:tc>
          <w:tcPr>
            <w:tcW w:w="2835" w:type="dxa"/>
            <w:vAlign w:val="center"/>
          </w:tcPr>
          <w:p w:rsidR="00874EF4" w:rsidRDefault="001007D7">
            <w:r>
              <w:t>20 dBm</w:t>
            </w:r>
          </w:p>
        </w:tc>
        <w:tc>
          <w:tcPr>
            <w:tcW w:w="2824" w:type="dxa"/>
          </w:tcPr>
          <w:p w:rsidR="00874EF4" w:rsidRDefault="001007D7">
            <w:pPr>
              <w:rPr>
                <w:b/>
              </w:rPr>
            </w:pPr>
            <w:r>
              <w:rPr>
                <w:b/>
              </w:rPr>
              <w:t>23 dBm</w:t>
            </w:r>
          </w:p>
        </w:tc>
      </w:tr>
      <w:tr w:rsidR="00874EF4">
        <w:trPr>
          <w:jc w:val="center"/>
        </w:trPr>
        <w:tc>
          <w:tcPr>
            <w:tcW w:w="1418" w:type="dxa"/>
            <w:vMerge/>
            <w:shd w:val="clear" w:color="auto" w:fill="B8CCE4"/>
          </w:tcPr>
          <w:p w:rsidR="00874EF4" w:rsidRDefault="00874EF4">
            <w:pPr>
              <w:widowControl w:val="0"/>
              <w:pBdr>
                <w:top w:val="nil"/>
                <w:left w:val="nil"/>
                <w:bottom w:val="nil"/>
                <w:right w:val="nil"/>
                <w:between w:val="nil"/>
              </w:pBdr>
              <w:spacing w:line="276" w:lineRule="auto"/>
              <w:rPr>
                <w:b/>
              </w:rPr>
            </w:pPr>
          </w:p>
        </w:tc>
        <w:tc>
          <w:tcPr>
            <w:tcW w:w="2551" w:type="dxa"/>
            <w:shd w:val="clear" w:color="auto" w:fill="B8CCE4"/>
            <w:vAlign w:val="center"/>
          </w:tcPr>
          <w:p w:rsidR="00874EF4" w:rsidRDefault="001007D7">
            <w:r>
              <w:t>Tx/Rx Antenna Gain</w:t>
            </w:r>
          </w:p>
        </w:tc>
        <w:tc>
          <w:tcPr>
            <w:tcW w:w="2835" w:type="dxa"/>
            <w:vAlign w:val="center"/>
          </w:tcPr>
          <w:p w:rsidR="00874EF4" w:rsidRDefault="001007D7">
            <w:r>
              <w:t xml:space="preserve">0 </w:t>
            </w:r>
            <w:proofErr w:type="spellStart"/>
            <w:r>
              <w:t>dBi</w:t>
            </w:r>
            <w:proofErr w:type="spellEnd"/>
          </w:p>
        </w:tc>
        <w:tc>
          <w:tcPr>
            <w:tcW w:w="2824" w:type="dxa"/>
            <w:vAlign w:val="center"/>
          </w:tcPr>
          <w:p w:rsidR="00874EF4" w:rsidRDefault="001007D7">
            <w:r>
              <w:t xml:space="preserve">0 </w:t>
            </w:r>
            <w:proofErr w:type="spellStart"/>
            <w:r>
              <w:t>dBi</w:t>
            </w:r>
            <w:proofErr w:type="spellEnd"/>
          </w:p>
        </w:tc>
      </w:tr>
      <w:tr w:rsidR="00874EF4">
        <w:trPr>
          <w:jc w:val="center"/>
        </w:trPr>
        <w:tc>
          <w:tcPr>
            <w:tcW w:w="1418" w:type="dxa"/>
            <w:vMerge/>
            <w:shd w:val="clear" w:color="auto" w:fill="B8CCE4"/>
          </w:tcPr>
          <w:p w:rsidR="00874EF4" w:rsidRDefault="00874EF4">
            <w:pPr>
              <w:widowControl w:val="0"/>
              <w:pBdr>
                <w:top w:val="nil"/>
                <w:left w:val="nil"/>
                <w:bottom w:val="nil"/>
                <w:right w:val="nil"/>
                <w:between w:val="nil"/>
              </w:pBdr>
              <w:spacing w:line="276" w:lineRule="auto"/>
            </w:pPr>
          </w:p>
        </w:tc>
        <w:tc>
          <w:tcPr>
            <w:tcW w:w="2551" w:type="dxa"/>
            <w:shd w:val="clear" w:color="auto" w:fill="B8CCE4"/>
            <w:vAlign w:val="center"/>
          </w:tcPr>
          <w:p w:rsidR="00874EF4" w:rsidRDefault="001007D7">
            <w:r>
              <w:t>Antenna polarization</w:t>
            </w:r>
          </w:p>
        </w:tc>
        <w:tc>
          <w:tcPr>
            <w:tcW w:w="2835" w:type="dxa"/>
            <w:vAlign w:val="center"/>
          </w:tcPr>
          <w:p w:rsidR="00874EF4" w:rsidRDefault="001007D7">
            <w:r>
              <w:t>Linear</w:t>
            </w:r>
          </w:p>
        </w:tc>
        <w:tc>
          <w:tcPr>
            <w:tcW w:w="2824" w:type="dxa"/>
            <w:vAlign w:val="center"/>
          </w:tcPr>
          <w:p w:rsidR="00874EF4" w:rsidRDefault="001007D7">
            <w:r>
              <w:t>Linear</w:t>
            </w:r>
          </w:p>
        </w:tc>
      </w:tr>
      <w:tr w:rsidR="00874EF4">
        <w:trPr>
          <w:jc w:val="center"/>
        </w:trPr>
        <w:tc>
          <w:tcPr>
            <w:tcW w:w="1418" w:type="dxa"/>
            <w:vMerge/>
            <w:shd w:val="clear" w:color="auto" w:fill="B8CCE4"/>
          </w:tcPr>
          <w:p w:rsidR="00874EF4" w:rsidRDefault="00874EF4">
            <w:pPr>
              <w:widowControl w:val="0"/>
              <w:pBdr>
                <w:top w:val="nil"/>
                <w:left w:val="nil"/>
                <w:bottom w:val="nil"/>
                <w:right w:val="nil"/>
                <w:between w:val="nil"/>
              </w:pBdr>
              <w:spacing w:line="276" w:lineRule="auto"/>
            </w:pPr>
          </w:p>
        </w:tc>
        <w:tc>
          <w:tcPr>
            <w:tcW w:w="2551" w:type="dxa"/>
            <w:shd w:val="clear" w:color="auto" w:fill="B8CCE4"/>
            <w:vAlign w:val="center"/>
          </w:tcPr>
          <w:p w:rsidR="00874EF4" w:rsidRDefault="001007D7">
            <w:r>
              <w:t>Antenna temperature</w:t>
            </w:r>
          </w:p>
        </w:tc>
        <w:tc>
          <w:tcPr>
            <w:tcW w:w="2835" w:type="dxa"/>
            <w:vAlign w:val="center"/>
          </w:tcPr>
          <w:p w:rsidR="00874EF4" w:rsidRDefault="001007D7">
            <w:r>
              <w:t>290 K</w:t>
            </w:r>
          </w:p>
        </w:tc>
        <w:tc>
          <w:tcPr>
            <w:tcW w:w="2824" w:type="dxa"/>
            <w:vAlign w:val="center"/>
          </w:tcPr>
          <w:p w:rsidR="00874EF4" w:rsidRDefault="001007D7">
            <w:r>
              <w:t>290 K</w:t>
            </w:r>
          </w:p>
        </w:tc>
      </w:tr>
      <w:tr w:rsidR="00874EF4">
        <w:trPr>
          <w:jc w:val="center"/>
        </w:trPr>
        <w:tc>
          <w:tcPr>
            <w:tcW w:w="1418" w:type="dxa"/>
            <w:vMerge/>
            <w:shd w:val="clear" w:color="auto" w:fill="B8CCE4"/>
          </w:tcPr>
          <w:p w:rsidR="00874EF4" w:rsidRDefault="00874EF4">
            <w:pPr>
              <w:widowControl w:val="0"/>
              <w:pBdr>
                <w:top w:val="nil"/>
                <w:left w:val="nil"/>
                <w:bottom w:val="nil"/>
                <w:right w:val="nil"/>
                <w:between w:val="nil"/>
              </w:pBdr>
              <w:spacing w:line="276" w:lineRule="auto"/>
            </w:pPr>
          </w:p>
        </w:tc>
        <w:tc>
          <w:tcPr>
            <w:tcW w:w="2551" w:type="dxa"/>
            <w:shd w:val="clear" w:color="auto" w:fill="B8CCE4"/>
            <w:vAlign w:val="center"/>
          </w:tcPr>
          <w:p w:rsidR="00874EF4" w:rsidRDefault="001007D7">
            <w:r>
              <w:t>Noise Figure (NF)</w:t>
            </w:r>
          </w:p>
        </w:tc>
        <w:tc>
          <w:tcPr>
            <w:tcW w:w="2835" w:type="dxa"/>
            <w:vAlign w:val="center"/>
          </w:tcPr>
          <w:p w:rsidR="00874EF4" w:rsidRDefault="001007D7">
            <w:r>
              <w:t>9 dB</w:t>
            </w:r>
          </w:p>
        </w:tc>
        <w:tc>
          <w:tcPr>
            <w:tcW w:w="2824" w:type="dxa"/>
          </w:tcPr>
          <w:p w:rsidR="00874EF4" w:rsidRDefault="001007D7">
            <w:pPr>
              <w:rPr>
                <w:b/>
              </w:rPr>
            </w:pPr>
            <w:r>
              <w:rPr>
                <w:b/>
              </w:rPr>
              <w:t>5 dB</w:t>
            </w:r>
          </w:p>
        </w:tc>
      </w:tr>
      <w:tr w:rsidR="00874EF4">
        <w:trPr>
          <w:jc w:val="center"/>
        </w:trPr>
        <w:tc>
          <w:tcPr>
            <w:tcW w:w="1418" w:type="dxa"/>
            <w:vMerge/>
            <w:shd w:val="clear" w:color="auto" w:fill="B8CCE4"/>
          </w:tcPr>
          <w:p w:rsidR="00874EF4" w:rsidRDefault="00874EF4">
            <w:pPr>
              <w:widowControl w:val="0"/>
              <w:pBdr>
                <w:top w:val="nil"/>
                <w:left w:val="nil"/>
                <w:bottom w:val="nil"/>
                <w:right w:val="nil"/>
                <w:between w:val="nil"/>
              </w:pBdr>
              <w:spacing w:line="276" w:lineRule="auto"/>
              <w:rPr>
                <w:b/>
              </w:rPr>
            </w:pPr>
          </w:p>
        </w:tc>
        <w:tc>
          <w:tcPr>
            <w:tcW w:w="2551" w:type="dxa"/>
            <w:shd w:val="clear" w:color="auto" w:fill="B8CCE4"/>
            <w:vAlign w:val="center"/>
          </w:tcPr>
          <w:p w:rsidR="00874EF4" w:rsidRDefault="001007D7">
            <w:r>
              <w:t>G/T</w:t>
            </w:r>
          </w:p>
        </w:tc>
        <w:tc>
          <w:tcPr>
            <w:tcW w:w="2835" w:type="dxa"/>
            <w:vAlign w:val="center"/>
          </w:tcPr>
          <w:p w:rsidR="00874EF4" w:rsidRDefault="001007D7">
            <w:r>
              <w:t>-33.6 dB/K</w:t>
            </w:r>
          </w:p>
        </w:tc>
        <w:tc>
          <w:tcPr>
            <w:tcW w:w="2824" w:type="dxa"/>
          </w:tcPr>
          <w:p w:rsidR="00874EF4" w:rsidRDefault="001007D7">
            <w:pPr>
              <w:rPr>
                <w:b/>
              </w:rPr>
            </w:pPr>
            <w:r>
              <w:rPr>
                <w:b/>
              </w:rPr>
              <w:t>-29.6 dB/K</w:t>
            </w:r>
          </w:p>
        </w:tc>
      </w:tr>
      <w:tr w:rsidR="00874EF4">
        <w:trPr>
          <w:jc w:val="center"/>
        </w:trPr>
        <w:tc>
          <w:tcPr>
            <w:tcW w:w="1418" w:type="dxa"/>
            <w:vMerge w:val="restart"/>
            <w:shd w:val="clear" w:color="auto" w:fill="B8CCE4"/>
          </w:tcPr>
          <w:p w:rsidR="00874EF4" w:rsidRDefault="001007D7">
            <w:r>
              <w:t>NB-IoT protocol</w:t>
            </w:r>
          </w:p>
        </w:tc>
        <w:tc>
          <w:tcPr>
            <w:tcW w:w="2551" w:type="dxa"/>
            <w:shd w:val="clear" w:color="auto" w:fill="B8CCE4"/>
            <w:vAlign w:val="center"/>
          </w:tcPr>
          <w:p w:rsidR="00874EF4" w:rsidRDefault="001007D7">
            <w:r>
              <w:t>Downlink channel bandwidth</w:t>
            </w:r>
          </w:p>
        </w:tc>
        <w:tc>
          <w:tcPr>
            <w:tcW w:w="2835" w:type="dxa"/>
            <w:vAlign w:val="center"/>
          </w:tcPr>
          <w:p w:rsidR="00874EF4" w:rsidRDefault="001007D7">
            <w:r>
              <w:t>180 kHz</w:t>
            </w:r>
          </w:p>
        </w:tc>
        <w:tc>
          <w:tcPr>
            <w:tcW w:w="2824" w:type="dxa"/>
            <w:vAlign w:val="center"/>
          </w:tcPr>
          <w:p w:rsidR="00874EF4" w:rsidRDefault="001007D7">
            <w:r>
              <w:t>180 kHz</w:t>
            </w:r>
          </w:p>
        </w:tc>
      </w:tr>
      <w:tr w:rsidR="00874EF4">
        <w:trPr>
          <w:jc w:val="center"/>
        </w:trPr>
        <w:tc>
          <w:tcPr>
            <w:tcW w:w="1418" w:type="dxa"/>
            <w:vMerge/>
            <w:shd w:val="clear" w:color="auto" w:fill="B8CCE4"/>
          </w:tcPr>
          <w:p w:rsidR="00874EF4" w:rsidRDefault="00874EF4">
            <w:pPr>
              <w:widowControl w:val="0"/>
              <w:pBdr>
                <w:top w:val="nil"/>
                <w:left w:val="nil"/>
                <w:bottom w:val="nil"/>
                <w:right w:val="nil"/>
                <w:between w:val="nil"/>
              </w:pBdr>
              <w:spacing w:line="276" w:lineRule="auto"/>
            </w:pPr>
          </w:p>
        </w:tc>
        <w:tc>
          <w:tcPr>
            <w:tcW w:w="2551" w:type="dxa"/>
            <w:shd w:val="clear" w:color="auto" w:fill="B8CCE4"/>
            <w:vAlign w:val="center"/>
          </w:tcPr>
          <w:p w:rsidR="00874EF4" w:rsidRDefault="001007D7">
            <w:r>
              <w:t>Uplink channel bandwidth</w:t>
            </w:r>
          </w:p>
        </w:tc>
        <w:tc>
          <w:tcPr>
            <w:tcW w:w="2835" w:type="dxa"/>
            <w:vAlign w:val="center"/>
          </w:tcPr>
          <w:p w:rsidR="00874EF4" w:rsidRDefault="001007D7">
            <w:r>
              <w:t>3.75 kHz</w:t>
            </w:r>
          </w:p>
        </w:tc>
        <w:tc>
          <w:tcPr>
            <w:tcW w:w="2824" w:type="dxa"/>
            <w:vAlign w:val="center"/>
          </w:tcPr>
          <w:p w:rsidR="00874EF4" w:rsidRDefault="001007D7">
            <w:r>
              <w:t>3.75 kHz</w:t>
            </w:r>
          </w:p>
        </w:tc>
      </w:tr>
      <w:tr w:rsidR="00874EF4">
        <w:trPr>
          <w:jc w:val="center"/>
        </w:trPr>
        <w:tc>
          <w:tcPr>
            <w:tcW w:w="1418" w:type="dxa"/>
            <w:vMerge w:val="restart"/>
            <w:shd w:val="clear" w:color="auto" w:fill="B8CCE4"/>
          </w:tcPr>
          <w:p w:rsidR="00874EF4" w:rsidRDefault="001007D7">
            <w:r>
              <w:t>Other losses</w:t>
            </w:r>
          </w:p>
        </w:tc>
        <w:tc>
          <w:tcPr>
            <w:tcW w:w="2551" w:type="dxa"/>
            <w:shd w:val="clear" w:color="auto" w:fill="B8CCE4"/>
            <w:vAlign w:val="center"/>
          </w:tcPr>
          <w:p w:rsidR="00874EF4" w:rsidRDefault="001007D7">
            <w:r>
              <w:t>Polarization</w:t>
            </w:r>
          </w:p>
        </w:tc>
        <w:tc>
          <w:tcPr>
            <w:tcW w:w="2835" w:type="dxa"/>
            <w:vAlign w:val="center"/>
          </w:tcPr>
          <w:p w:rsidR="00874EF4" w:rsidRDefault="001007D7">
            <w:pPr>
              <w:rPr>
                <w:sz w:val="24"/>
                <w:szCs w:val="24"/>
              </w:rPr>
            </w:pPr>
            <w:r>
              <w:t>3 dB</w:t>
            </w:r>
          </w:p>
        </w:tc>
        <w:tc>
          <w:tcPr>
            <w:tcW w:w="2824" w:type="dxa"/>
            <w:vAlign w:val="center"/>
          </w:tcPr>
          <w:p w:rsidR="00874EF4" w:rsidRDefault="001007D7">
            <w:pPr>
              <w:rPr>
                <w:sz w:val="24"/>
                <w:szCs w:val="24"/>
              </w:rPr>
            </w:pPr>
            <w:r>
              <w:t>3 dB</w:t>
            </w:r>
          </w:p>
        </w:tc>
      </w:tr>
      <w:tr w:rsidR="00874EF4">
        <w:trPr>
          <w:jc w:val="center"/>
        </w:trPr>
        <w:tc>
          <w:tcPr>
            <w:tcW w:w="1418" w:type="dxa"/>
            <w:vMerge/>
            <w:shd w:val="clear" w:color="auto" w:fill="B8CCE4"/>
          </w:tcPr>
          <w:p w:rsidR="00874EF4" w:rsidRDefault="00874EF4">
            <w:pPr>
              <w:widowControl w:val="0"/>
              <w:pBdr>
                <w:top w:val="nil"/>
                <w:left w:val="nil"/>
                <w:bottom w:val="nil"/>
                <w:right w:val="nil"/>
                <w:between w:val="nil"/>
              </w:pBdr>
              <w:spacing w:line="276" w:lineRule="auto"/>
              <w:rPr>
                <w:sz w:val="24"/>
                <w:szCs w:val="24"/>
              </w:rPr>
            </w:pPr>
          </w:p>
        </w:tc>
        <w:tc>
          <w:tcPr>
            <w:tcW w:w="2551" w:type="dxa"/>
            <w:shd w:val="clear" w:color="auto" w:fill="B8CCE4"/>
            <w:vAlign w:val="center"/>
          </w:tcPr>
          <w:p w:rsidR="00874EF4" w:rsidRDefault="001007D7">
            <w:r>
              <w:t>Scintillation</w:t>
            </w:r>
          </w:p>
        </w:tc>
        <w:tc>
          <w:tcPr>
            <w:tcW w:w="2835" w:type="dxa"/>
            <w:vAlign w:val="center"/>
          </w:tcPr>
          <w:p w:rsidR="00874EF4" w:rsidRDefault="001007D7">
            <w:pPr>
              <w:rPr>
                <w:sz w:val="24"/>
                <w:szCs w:val="24"/>
              </w:rPr>
            </w:pPr>
            <w:r>
              <w:t>2.2 dB</w:t>
            </w:r>
          </w:p>
        </w:tc>
        <w:tc>
          <w:tcPr>
            <w:tcW w:w="2824" w:type="dxa"/>
            <w:vAlign w:val="center"/>
          </w:tcPr>
          <w:p w:rsidR="00874EF4" w:rsidRDefault="001007D7">
            <w:pPr>
              <w:rPr>
                <w:sz w:val="24"/>
                <w:szCs w:val="24"/>
              </w:rPr>
            </w:pPr>
            <w:r>
              <w:t>2.2 dB</w:t>
            </w:r>
          </w:p>
        </w:tc>
      </w:tr>
      <w:tr w:rsidR="00874EF4">
        <w:trPr>
          <w:jc w:val="center"/>
        </w:trPr>
        <w:tc>
          <w:tcPr>
            <w:tcW w:w="1418" w:type="dxa"/>
            <w:vMerge/>
            <w:shd w:val="clear" w:color="auto" w:fill="B8CCE4"/>
          </w:tcPr>
          <w:p w:rsidR="00874EF4" w:rsidRDefault="00874EF4">
            <w:pPr>
              <w:widowControl w:val="0"/>
              <w:pBdr>
                <w:top w:val="nil"/>
                <w:left w:val="nil"/>
                <w:bottom w:val="nil"/>
                <w:right w:val="nil"/>
                <w:between w:val="nil"/>
              </w:pBdr>
              <w:spacing w:line="276" w:lineRule="auto"/>
              <w:rPr>
                <w:sz w:val="24"/>
                <w:szCs w:val="24"/>
              </w:rPr>
            </w:pPr>
          </w:p>
        </w:tc>
        <w:tc>
          <w:tcPr>
            <w:tcW w:w="2551" w:type="dxa"/>
            <w:shd w:val="clear" w:color="auto" w:fill="B8CCE4"/>
            <w:vAlign w:val="center"/>
          </w:tcPr>
          <w:p w:rsidR="00874EF4" w:rsidRDefault="001007D7">
            <w:r>
              <w:t>Atmospheric absorption</w:t>
            </w:r>
          </w:p>
        </w:tc>
        <w:tc>
          <w:tcPr>
            <w:tcW w:w="2835" w:type="dxa"/>
            <w:vAlign w:val="center"/>
          </w:tcPr>
          <w:p w:rsidR="00874EF4" w:rsidRDefault="001007D7">
            <w:pPr>
              <w:rPr>
                <w:sz w:val="24"/>
                <w:szCs w:val="24"/>
              </w:rPr>
            </w:pPr>
            <w:r>
              <w:t>0.1 dB</w:t>
            </w:r>
          </w:p>
        </w:tc>
        <w:tc>
          <w:tcPr>
            <w:tcW w:w="2824" w:type="dxa"/>
            <w:vAlign w:val="center"/>
          </w:tcPr>
          <w:p w:rsidR="00874EF4" w:rsidRDefault="001007D7">
            <w:pPr>
              <w:rPr>
                <w:sz w:val="24"/>
                <w:szCs w:val="24"/>
              </w:rPr>
            </w:pPr>
            <w:r>
              <w:t>0.1 dB</w:t>
            </w:r>
          </w:p>
        </w:tc>
      </w:tr>
      <w:tr w:rsidR="00874EF4">
        <w:trPr>
          <w:jc w:val="center"/>
        </w:trPr>
        <w:tc>
          <w:tcPr>
            <w:tcW w:w="1418" w:type="dxa"/>
            <w:vMerge/>
            <w:shd w:val="clear" w:color="auto" w:fill="B8CCE4"/>
          </w:tcPr>
          <w:p w:rsidR="00874EF4" w:rsidRDefault="00874EF4">
            <w:pPr>
              <w:widowControl w:val="0"/>
              <w:pBdr>
                <w:top w:val="nil"/>
                <w:left w:val="nil"/>
                <w:bottom w:val="nil"/>
                <w:right w:val="nil"/>
                <w:between w:val="nil"/>
              </w:pBdr>
              <w:spacing w:line="276" w:lineRule="auto"/>
              <w:rPr>
                <w:sz w:val="24"/>
                <w:szCs w:val="24"/>
              </w:rPr>
            </w:pPr>
          </w:p>
        </w:tc>
        <w:tc>
          <w:tcPr>
            <w:tcW w:w="2551" w:type="dxa"/>
            <w:shd w:val="clear" w:color="auto" w:fill="B8CCE4"/>
            <w:vAlign w:val="center"/>
          </w:tcPr>
          <w:p w:rsidR="00874EF4" w:rsidRDefault="001007D7">
            <w:r>
              <w:t>Shadow margin</w:t>
            </w:r>
          </w:p>
        </w:tc>
        <w:tc>
          <w:tcPr>
            <w:tcW w:w="2835" w:type="dxa"/>
            <w:vAlign w:val="center"/>
          </w:tcPr>
          <w:p w:rsidR="00874EF4" w:rsidRDefault="001007D7">
            <w:pPr>
              <w:rPr>
                <w:sz w:val="24"/>
                <w:szCs w:val="24"/>
              </w:rPr>
            </w:pPr>
            <w:r>
              <w:t>3 dB</w:t>
            </w:r>
          </w:p>
        </w:tc>
        <w:tc>
          <w:tcPr>
            <w:tcW w:w="2824" w:type="dxa"/>
            <w:vAlign w:val="center"/>
          </w:tcPr>
          <w:p w:rsidR="00874EF4" w:rsidRDefault="001007D7">
            <w:pPr>
              <w:rPr>
                <w:sz w:val="24"/>
                <w:szCs w:val="24"/>
              </w:rPr>
            </w:pPr>
            <w:r>
              <w:t>3 dB</w:t>
            </w:r>
          </w:p>
        </w:tc>
      </w:tr>
    </w:tbl>
    <w:p w:rsidR="00874EF4" w:rsidRDefault="001007D7">
      <w:pPr>
        <w:spacing w:before="240" w:after="240"/>
        <w:jc w:val="center"/>
      </w:pPr>
      <w:r>
        <w:rPr>
          <w:b/>
        </w:rPr>
        <w:t xml:space="preserve">Table 1 - </w:t>
      </w:r>
      <w:r>
        <w:t xml:space="preserve">Assumptions </w:t>
      </w:r>
      <w:r w:rsidR="00304216">
        <w:t>for</w:t>
      </w:r>
      <w:r>
        <w:t xml:space="preserve"> link budget computation</w:t>
      </w:r>
    </w:p>
    <w:p w:rsidR="00874EF4" w:rsidRDefault="00874EF4">
      <w:pPr>
        <w:keepLines/>
        <w:pBdr>
          <w:top w:val="nil"/>
          <w:left w:val="nil"/>
          <w:bottom w:val="nil"/>
          <w:right w:val="nil"/>
          <w:between w:val="nil"/>
        </w:pBdr>
        <w:spacing w:before="0"/>
        <w:jc w:val="left"/>
        <w:rPr>
          <w:color w:val="000000"/>
          <w:sz w:val="20"/>
          <w:szCs w:val="20"/>
        </w:rPr>
      </w:pPr>
    </w:p>
    <w:p w:rsidR="00874EF4" w:rsidRDefault="001007D7">
      <w:pPr>
        <w:pStyle w:val="Ttulo2"/>
        <w:numPr>
          <w:ilvl w:val="1"/>
          <w:numId w:val="5"/>
        </w:numPr>
      </w:pPr>
      <w:r>
        <w:t xml:space="preserve">SNR characterization within the beam coverage footprint </w:t>
      </w:r>
    </w:p>
    <w:p w:rsidR="00874EF4" w:rsidRDefault="001007D7">
      <w:r>
        <w:t>Table 2 provides the Downlink and Uplink SNR estimations at the worst and best locations within the beam footprint:</w:t>
      </w:r>
    </w:p>
    <w:p w:rsidR="00874EF4" w:rsidRDefault="001007D7">
      <w:pPr>
        <w:numPr>
          <w:ilvl w:val="0"/>
          <w:numId w:val="1"/>
        </w:numPr>
        <w:pBdr>
          <w:top w:val="nil"/>
          <w:left w:val="nil"/>
          <w:bottom w:val="nil"/>
          <w:right w:val="nil"/>
          <w:between w:val="nil"/>
        </w:pBdr>
        <w:spacing w:before="0"/>
        <w:jc w:val="left"/>
        <w:rPr>
          <w:color w:val="000000"/>
        </w:rPr>
      </w:pPr>
      <w:r>
        <w:rPr>
          <w:color w:val="000000"/>
        </w:rPr>
        <w:t xml:space="preserve">Edge of the beam, for </w:t>
      </w:r>
      <w:r>
        <w:t>an IoT</w:t>
      </w:r>
      <w:r>
        <w:rPr>
          <w:color w:val="000000"/>
        </w:rPr>
        <w:t xml:space="preserve"> device seeing the satellite at 30° of elevation angle.</w:t>
      </w:r>
    </w:p>
    <w:p w:rsidR="00874EF4" w:rsidRDefault="001007D7">
      <w:pPr>
        <w:numPr>
          <w:ilvl w:val="0"/>
          <w:numId w:val="1"/>
        </w:numPr>
        <w:pBdr>
          <w:top w:val="nil"/>
          <w:left w:val="nil"/>
          <w:bottom w:val="nil"/>
          <w:right w:val="nil"/>
          <w:between w:val="nil"/>
        </w:pBdr>
        <w:spacing w:before="0"/>
        <w:jc w:val="left"/>
        <w:rPr>
          <w:color w:val="000000"/>
        </w:rPr>
      </w:pPr>
      <w:r>
        <w:rPr>
          <w:color w:val="000000"/>
        </w:rPr>
        <w:t>Centre of the beam, for an IoT device seeing the satellite at 90° of elevation angle.</w:t>
      </w:r>
    </w:p>
    <w:p w:rsidR="00874EF4" w:rsidRDefault="00874EF4">
      <w:pPr>
        <w:pBdr>
          <w:top w:val="nil"/>
          <w:left w:val="nil"/>
          <w:bottom w:val="nil"/>
          <w:right w:val="nil"/>
          <w:between w:val="nil"/>
        </w:pBdr>
        <w:spacing w:before="0"/>
        <w:jc w:val="left"/>
        <w:rPr>
          <w:color w:val="000000"/>
          <w:sz w:val="20"/>
          <w:szCs w:val="20"/>
        </w:rPr>
      </w:pPr>
    </w:p>
    <w:tbl>
      <w:tblPr>
        <w:tblStyle w:val="affff"/>
        <w:tblW w:w="9778" w:type="dxa"/>
        <w:tblInd w:w="0" w:type="dxa"/>
        <w:tblBorders>
          <w:top w:val="single" w:sz="4" w:space="0" w:color="B2A1C7"/>
          <w:left w:val="single" w:sz="4" w:space="0" w:color="B2A1C7"/>
          <w:bottom w:val="single" w:sz="4" w:space="0" w:color="B2A1C7"/>
          <w:right w:val="single" w:sz="4" w:space="0" w:color="B2A1C7"/>
          <w:insideH w:val="single" w:sz="4" w:space="0" w:color="B2A1C7"/>
          <w:insideV w:val="single" w:sz="4" w:space="0" w:color="B2A1C7"/>
        </w:tblBorders>
        <w:tblLayout w:type="fixed"/>
        <w:tblLook w:val="0400" w:firstRow="0" w:lastRow="0" w:firstColumn="0" w:lastColumn="0" w:noHBand="0" w:noVBand="1"/>
      </w:tblPr>
      <w:tblGrid>
        <w:gridCol w:w="1668"/>
        <w:gridCol w:w="1701"/>
        <w:gridCol w:w="3260"/>
        <w:gridCol w:w="3149"/>
      </w:tblGrid>
      <w:tr w:rsidR="00874EF4">
        <w:tc>
          <w:tcPr>
            <w:tcW w:w="1668" w:type="dxa"/>
          </w:tcPr>
          <w:p w:rsidR="00874EF4" w:rsidRDefault="00874EF4">
            <w:pPr>
              <w:rPr>
                <w:color w:val="000000"/>
                <w:sz w:val="20"/>
                <w:szCs w:val="20"/>
              </w:rPr>
            </w:pPr>
          </w:p>
        </w:tc>
        <w:tc>
          <w:tcPr>
            <w:tcW w:w="1701" w:type="dxa"/>
          </w:tcPr>
          <w:p w:rsidR="00874EF4" w:rsidRDefault="00874EF4">
            <w:pPr>
              <w:rPr>
                <w:color w:val="000000"/>
                <w:sz w:val="20"/>
                <w:szCs w:val="20"/>
              </w:rPr>
            </w:pPr>
          </w:p>
        </w:tc>
        <w:tc>
          <w:tcPr>
            <w:tcW w:w="3260" w:type="dxa"/>
            <w:shd w:val="clear" w:color="auto" w:fill="B8CCE4"/>
          </w:tcPr>
          <w:p w:rsidR="00874EF4" w:rsidRDefault="001007D7">
            <w:pPr>
              <w:jc w:val="center"/>
              <w:rPr>
                <w:b/>
                <w:color w:val="000000"/>
                <w:sz w:val="20"/>
                <w:szCs w:val="20"/>
              </w:rPr>
            </w:pPr>
            <w:r>
              <w:rPr>
                <w:b/>
                <w:color w:val="000000"/>
                <w:sz w:val="20"/>
                <w:szCs w:val="20"/>
              </w:rPr>
              <w:t>Configuration A</w:t>
            </w:r>
          </w:p>
          <w:p w:rsidR="00874EF4" w:rsidRDefault="001007D7">
            <w:pPr>
              <w:jc w:val="center"/>
              <w:rPr>
                <w:b/>
                <w:color w:val="000000"/>
                <w:sz w:val="20"/>
                <w:szCs w:val="20"/>
              </w:rPr>
            </w:pPr>
            <w:r>
              <w:t xml:space="preserve">(Based on </w:t>
            </w:r>
            <w:proofErr w:type="gramStart"/>
            <w:r>
              <w:t>common  assumptions</w:t>
            </w:r>
            <w:proofErr w:type="gramEnd"/>
            <w:r>
              <w:t xml:space="preserve"> in TR 36.763 v0.1.0 section 6.2.1)</w:t>
            </w:r>
          </w:p>
        </w:tc>
        <w:tc>
          <w:tcPr>
            <w:tcW w:w="3149" w:type="dxa"/>
            <w:shd w:val="clear" w:color="auto" w:fill="B8CCE4"/>
          </w:tcPr>
          <w:p w:rsidR="00874EF4" w:rsidRDefault="001007D7">
            <w:pPr>
              <w:jc w:val="center"/>
              <w:rPr>
                <w:b/>
                <w:color w:val="000000"/>
                <w:sz w:val="20"/>
                <w:szCs w:val="20"/>
              </w:rPr>
            </w:pPr>
            <w:r>
              <w:rPr>
                <w:b/>
                <w:color w:val="000000"/>
                <w:sz w:val="20"/>
                <w:szCs w:val="20"/>
              </w:rPr>
              <w:t>Configuration B</w:t>
            </w:r>
          </w:p>
          <w:p w:rsidR="00874EF4" w:rsidRDefault="001007D7">
            <w:r>
              <w:t>(common assumptions + some enhancements)</w:t>
            </w:r>
          </w:p>
          <w:p w:rsidR="00874EF4" w:rsidRDefault="00874EF4">
            <w:pPr>
              <w:jc w:val="center"/>
              <w:rPr>
                <w:b/>
                <w:color w:val="000000"/>
                <w:sz w:val="20"/>
                <w:szCs w:val="20"/>
              </w:rPr>
            </w:pPr>
          </w:p>
        </w:tc>
      </w:tr>
      <w:tr w:rsidR="00874EF4">
        <w:tc>
          <w:tcPr>
            <w:tcW w:w="1668" w:type="dxa"/>
            <w:vMerge w:val="restart"/>
            <w:shd w:val="clear" w:color="auto" w:fill="B8CCE4"/>
          </w:tcPr>
          <w:p w:rsidR="00874EF4" w:rsidRDefault="001007D7">
            <w:pPr>
              <w:rPr>
                <w:b/>
                <w:color w:val="000000"/>
                <w:sz w:val="20"/>
                <w:szCs w:val="20"/>
              </w:rPr>
            </w:pPr>
            <w:r>
              <w:rPr>
                <w:b/>
                <w:color w:val="000000"/>
                <w:sz w:val="20"/>
                <w:szCs w:val="20"/>
              </w:rPr>
              <w:lastRenderedPageBreak/>
              <w:t>Downlink SNR</w:t>
            </w:r>
          </w:p>
        </w:tc>
        <w:tc>
          <w:tcPr>
            <w:tcW w:w="1701" w:type="dxa"/>
            <w:shd w:val="clear" w:color="auto" w:fill="B8CCE4"/>
          </w:tcPr>
          <w:p w:rsidR="00874EF4" w:rsidRDefault="001007D7">
            <w:pPr>
              <w:rPr>
                <w:color w:val="000000"/>
                <w:sz w:val="20"/>
                <w:szCs w:val="20"/>
              </w:rPr>
            </w:pPr>
            <w:r>
              <w:rPr>
                <w:color w:val="000000"/>
                <w:sz w:val="20"/>
                <w:szCs w:val="20"/>
              </w:rPr>
              <w:t>Elevation angle=90º</w:t>
            </w:r>
          </w:p>
        </w:tc>
        <w:tc>
          <w:tcPr>
            <w:tcW w:w="3260" w:type="dxa"/>
          </w:tcPr>
          <w:p w:rsidR="00874EF4" w:rsidRDefault="001007D7">
            <w:pPr>
              <w:jc w:val="center"/>
            </w:pPr>
            <w:r>
              <w:t>-5.91 dB</w:t>
            </w:r>
          </w:p>
        </w:tc>
        <w:tc>
          <w:tcPr>
            <w:tcW w:w="3149" w:type="dxa"/>
          </w:tcPr>
          <w:p w:rsidR="00874EF4" w:rsidRDefault="001007D7">
            <w:pPr>
              <w:jc w:val="center"/>
            </w:pPr>
            <w:r>
              <w:t>1.09 dB</w:t>
            </w:r>
          </w:p>
        </w:tc>
      </w:tr>
      <w:tr w:rsidR="00874EF4">
        <w:tc>
          <w:tcPr>
            <w:tcW w:w="1668" w:type="dxa"/>
            <w:vMerge/>
            <w:shd w:val="clear" w:color="auto" w:fill="B8CCE4"/>
          </w:tcPr>
          <w:p w:rsidR="00874EF4" w:rsidRDefault="00874EF4">
            <w:pPr>
              <w:widowControl w:val="0"/>
              <w:pBdr>
                <w:top w:val="nil"/>
                <w:left w:val="nil"/>
                <w:bottom w:val="nil"/>
                <w:right w:val="nil"/>
                <w:between w:val="nil"/>
              </w:pBdr>
              <w:spacing w:line="276" w:lineRule="auto"/>
            </w:pPr>
          </w:p>
        </w:tc>
        <w:tc>
          <w:tcPr>
            <w:tcW w:w="1701" w:type="dxa"/>
            <w:shd w:val="clear" w:color="auto" w:fill="B8CCE4"/>
          </w:tcPr>
          <w:p w:rsidR="00874EF4" w:rsidRDefault="001007D7">
            <w:pPr>
              <w:rPr>
                <w:color w:val="000000"/>
                <w:sz w:val="20"/>
                <w:szCs w:val="20"/>
              </w:rPr>
            </w:pPr>
            <w:r>
              <w:rPr>
                <w:color w:val="000000"/>
                <w:sz w:val="20"/>
                <w:szCs w:val="20"/>
              </w:rPr>
              <w:t>Elevation angle=30º</w:t>
            </w:r>
          </w:p>
        </w:tc>
        <w:tc>
          <w:tcPr>
            <w:tcW w:w="3260" w:type="dxa"/>
          </w:tcPr>
          <w:p w:rsidR="00874EF4" w:rsidRDefault="001007D7">
            <w:pPr>
              <w:jc w:val="center"/>
            </w:pPr>
            <w:r>
              <w:t>-13.98 dB</w:t>
            </w:r>
          </w:p>
        </w:tc>
        <w:tc>
          <w:tcPr>
            <w:tcW w:w="3149" w:type="dxa"/>
          </w:tcPr>
          <w:p w:rsidR="00874EF4" w:rsidRDefault="001007D7">
            <w:pPr>
              <w:jc w:val="center"/>
            </w:pPr>
            <w:r>
              <w:t>-6.98 dB</w:t>
            </w:r>
          </w:p>
        </w:tc>
      </w:tr>
      <w:tr w:rsidR="00874EF4">
        <w:tc>
          <w:tcPr>
            <w:tcW w:w="1668" w:type="dxa"/>
            <w:vMerge w:val="restart"/>
            <w:shd w:val="clear" w:color="auto" w:fill="B8CCE4"/>
          </w:tcPr>
          <w:p w:rsidR="00874EF4" w:rsidRDefault="001007D7">
            <w:pPr>
              <w:rPr>
                <w:b/>
                <w:color w:val="000000"/>
                <w:sz w:val="20"/>
                <w:szCs w:val="20"/>
              </w:rPr>
            </w:pPr>
            <w:r>
              <w:rPr>
                <w:b/>
                <w:color w:val="000000"/>
                <w:sz w:val="20"/>
                <w:szCs w:val="20"/>
              </w:rPr>
              <w:t>Uplink SNR</w:t>
            </w:r>
          </w:p>
          <w:p w:rsidR="00304216" w:rsidRDefault="00304216">
            <w:pPr>
              <w:rPr>
                <w:b/>
                <w:color w:val="000000"/>
                <w:sz w:val="20"/>
                <w:szCs w:val="20"/>
              </w:rPr>
            </w:pPr>
            <w:r>
              <w:rPr>
                <w:b/>
                <w:color w:val="000000"/>
                <w:sz w:val="20"/>
                <w:szCs w:val="20"/>
              </w:rPr>
              <w:t>(ST 3.75 kHz)</w:t>
            </w:r>
          </w:p>
        </w:tc>
        <w:tc>
          <w:tcPr>
            <w:tcW w:w="1701" w:type="dxa"/>
            <w:shd w:val="clear" w:color="auto" w:fill="B8CCE4"/>
          </w:tcPr>
          <w:p w:rsidR="00874EF4" w:rsidRDefault="001007D7">
            <w:pPr>
              <w:rPr>
                <w:color w:val="000000"/>
                <w:sz w:val="20"/>
                <w:szCs w:val="20"/>
              </w:rPr>
            </w:pPr>
            <w:r>
              <w:rPr>
                <w:color w:val="000000"/>
                <w:sz w:val="20"/>
                <w:szCs w:val="20"/>
              </w:rPr>
              <w:t>Elevation angle=90º</w:t>
            </w:r>
          </w:p>
        </w:tc>
        <w:tc>
          <w:tcPr>
            <w:tcW w:w="3260" w:type="dxa"/>
          </w:tcPr>
          <w:p w:rsidR="00874EF4" w:rsidRDefault="001007D7">
            <w:pPr>
              <w:jc w:val="center"/>
            </w:pPr>
            <w:r>
              <w:t>1.90 dB</w:t>
            </w:r>
          </w:p>
        </w:tc>
        <w:tc>
          <w:tcPr>
            <w:tcW w:w="3149" w:type="dxa"/>
          </w:tcPr>
          <w:p w:rsidR="00874EF4" w:rsidRDefault="001007D7">
            <w:pPr>
              <w:jc w:val="center"/>
            </w:pPr>
            <w:r>
              <w:t>6.90 dB</w:t>
            </w:r>
          </w:p>
        </w:tc>
      </w:tr>
      <w:tr w:rsidR="00874EF4">
        <w:tc>
          <w:tcPr>
            <w:tcW w:w="1668" w:type="dxa"/>
            <w:vMerge/>
            <w:shd w:val="clear" w:color="auto" w:fill="B8CCE4"/>
          </w:tcPr>
          <w:p w:rsidR="00874EF4" w:rsidRDefault="00874EF4">
            <w:pPr>
              <w:widowControl w:val="0"/>
              <w:pBdr>
                <w:top w:val="nil"/>
                <w:left w:val="nil"/>
                <w:bottom w:val="nil"/>
                <w:right w:val="nil"/>
                <w:between w:val="nil"/>
              </w:pBdr>
              <w:spacing w:line="276" w:lineRule="auto"/>
            </w:pPr>
          </w:p>
        </w:tc>
        <w:tc>
          <w:tcPr>
            <w:tcW w:w="1701" w:type="dxa"/>
            <w:shd w:val="clear" w:color="auto" w:fill="B8CCE4"/>
          </w:tcPr>
          <w:p w:rsidR="00874EF4" w:rsidRDefault="001007D7">
            <w:pPr>
              <w:rPr>
                <w:color w:val="000000"/>
                <w:sz w:val="20"/>
                <w:szCs w:val="20"/>
              </w:rPr>
            </w:pPr>
            <w:r>
              <w:rPr>
                <w:color w:val="000000"/>
                <w:sz w:val="20"/>
                <w:szCs w:val="20"/>
              </w:rPr>
              <w:t>Elevation angle=30º</w:t>
            </w:r>
          </w:p>
        </w:tc>
        <w:tc>
          <w:tcPr>
            <w:tcW w:w="3260" w:type="dxa"/>
          </w:tcPr>
          <w:p w:rsidR="00874EF4" w:rsidRDefault="001007D7">
            <w:pPr>
              <w:jc w:val="center"/>
            </w:pPr>
            <w:r>
              <w:t>-6.16 dB</w:t>
            </w:r>
          </w:p>
        </w:tc>
        <w:tc>
          <w:tcPr>
            <w:tcW w:w="3149" w:type="dxa"/>
          </w:tcPr>
          <w:p w:rsidR="00874EF4" w:rsidRDefault="001007D7">
            <w:pPr>
              <w:jc w:val="center"/>
            </w:pPr>
            <w:r>
              <w:t>-1.16 dB</w:t>
            </w:r>
          </w:p>
        </w:tc>
      </w:tr>
    </w:tbl>
    <w:p w:rsidR="00874EF4" w:rsidRDefault="00874EF4">
      <w:pPr>
        <w:pBdr>
          <w:top w:val="nil"/>
          <w:left w:val="nil"/>
          <w:bottom w:val="nil"/>
          <w:right w:val="nil"/>
          <w:between w:val="nil"/>
        </w:pBdr>
        <w:spacing w:before="0"/>
        <w:jc w:val="left"/>
        <w:rPr>
          <w:color w:val="000000"/>
          <w:sz w:val="20"/>
          <w:szCs w:val="20"/>
        </w:rPr>
      </w:pPr>
    </w:p>
    <w:p w:rsidR="00874EF4" w:rsidRDefault="001007D7">
      <w:pPr>
        <w:spacing w:before="240" w:after="240"/>
        <w:jc w:val="center"/>
      </w:pPr>
      <w:r>
        <w:rPr>
          <w:b/>
        </w:rPr>
        <w:t xml:space="preserve">Table 2 - </w:t>
      </w:r>
      <w:r>
        <w:t>Link budget results at worst and best beam footprint locations.</w:t>
      </w:r>
    </w:p>
    <w:p w:rsidR="00874EF4" w:rsidRDefault="00874EF4">
      <w:pPr>
        <w:spacing w:before="240" w:after="240"/>
        <w:jc w:val="left"/>
        <w:rPr>
          <w:b/>
        </w:rPr>
      </w:pPr>
    </w:p>
    <w:p w:rsidR="00874EF4" w:rsidRDefault="00874EF4">
      <w:pPr>
        <w:spacing w:before="240" w:after="240"/>
        <w:jc w:val="left"/>
      </w:pPr>
    </w:p>
    <w:p w:rsidR="00874EF4" w:rsidRDefault="00874EF4">
      <w:pPr>
        <w:spacing w:before="240" w:after="240"/>
        <w:jc w:val="left"/>
      </w:pPr>
    </w:p>
    <w:p w:rsidR="00874EF4" w:rsidRDefault="001007D7">
      <w:pPr>
        <w:spacing w:before="240" w:after="240"/>
        <w:jc w:val="left"/>
      </w:pPr>
      <w:r>
        <w:t>Based on the antenna model described in Annex 1, Figure 3 provides further results in terms of the CDF of SNR within the beam footprint.</w:t>
      </w:r>
    </w:p>
    <w:p w:rsidR="00874EF4" w:rsidRDefault="00874EF4">
      <w:pPr>
        <w:spacing w:before="240" w:after="240"/>
        <w:jc w:val="left"/>
      </w:pPr>
    </w:p>
    <w:p w:rsidR="00874EF4" w:rsidRDefault="001007D7">
      <w:r>
        <w:rPr>
          <w:noProof/>
        </w:rPr>
        <w:drawing>
          <wp:inline distT="114300" distB="114300" distL="114300" distR="114300">
            <wp:extent cx="6164514" cy="2273051"/>
            <wp:effectExtent l="0" t="0" r="0" b="0"/>
            <wp:docPr id="28" name="image3.jpg"/>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7"/>
                    <a:srcRect l="8057" r="7335"/>
                    <a:stretch>
                      <a:fillRect/>
                    </a:stretch>
                  </pic:blipFill>
                  <pic:spPr>
                    <a:xfrm>
                      <a:off x="0" y="0"/>
                      <a:ext cx="6164514" cy="2273051"/>
                    </a:xfrm>
                    <a:prstGeom prst="rect">
                      <a:avLst/>
                    </a:prstGeom>
                    <a:ln/>
                  </pic:spPr>
                </pic:pic>
              </a:graphicData>
            </a:graphic>
          </wp:inline>
        </w:drawing>
      </w:r>
    </w:p>
    <w:p w:rsidR="00874EF4" w:rsidRDefault="001007D7">
      <w:pPr>
        <w:jc w:val="center"/>
      </w:pPr>
      <w:r>
        <w:t>Figure 3 – CDF for SNR values within the beam coverage footprint</w:t>
      </w:r>
    </w:p>
    <w:p w:rsidR="00874EF4" w:rsidRDefault="00874EF4">
      <w:pPr>
        <w:pBdr>
          <w:top w:val="nil"/>
          <w:left w:val="nil"/>
          <w:bottom w:val="nil"/>
          <w:right w:val="nil"/>
          <w:between w:val="nil"/>
        </w:pBdr>
        <w:spacing w:before="0"/>
        <w:jc w:val="left"/>
        <w:rPr>
          <w:color w:val="000000"/>
          <w:sz w:val="20"/>
          <w:szCs w:val="20"/>
        </w:rPr>
      </w:pPr>
    </w:p>
    <w:p w:rsidR="00874EF4" w:rsidRDefault="001007D7">
      <w:pPr>
        <w:pStyle w:val="Ttulo2"/>
        <w:numPr>
          <w:ilvl w:val="1"/>
          <w:numId w:val="5"/>
        </w:numPr>
      </w:pPr>
      <w:bookmarkStart w:id="5" w:name="_heading=h.2s8eyo1" w:colFirst="0" w:colLast="0"/>
      <w:bookmarkEnd w:id="5"/>
      <w:r>
        <w:t>SNR characterization over a satellite pass</w:t>
      </w:r>
    </w:p>
    <w:p w:rsidR="00874EF4" w:rsidRDefault="001007D7">
      <w:r>
        <w:t xml:space="preserve">In addition to the static characterization of the achievable SNR within the beam footprint, it is also important to consider that, even for IoT devices located at fixed positions, the experienced SNR will change rapidly over time due to the satellite movement. In this respect, in this section we characterize the time evolution of the SNR as seen by an IoT device that sees the satellite passing </w:t>
      </w:r>
      <w:r w:rsidR="00304216">
        <w:t>with</w:t>
      </w:r>
      <w:r>
        <w:t xml:space="preserve"> a given maximum elevation angle (α</w:t>
      </w:r>
      <w:r>
        <w:rPr>
          <w:vertAlign w:val="subscript"/>
        </w:rPr>
        <w:t>max</w:t>
      </w:r>
      <w:r>
        <w:t xml:space="preserve">). This is illustrated in Figure 2 and Figure 3. </w:t>
      </w:r>
    </w:p>
    <w:p w:rsidR="00874EF4" w:rsidRDefault="00874EF4"/>
    <w:p w:rsidR="00874EF4" w:rsidRDefault="001007D7">
      <w:pPr>
        <w:jc w:val="center"/>
      </w:pPr>
      <w:r w:rsidRPr="001007D7">
        <w:rPr>
          <w:noProof/>
        </w:rPr>
        <w:lastRenderedPageBreak/>
        <w:drawing>
          <wp:inline distT="0" distB="0" distL="0" distR="0">
            <wp:extent cx="6120130" cy="290757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130" cy="2907570"/>
                    </a:xfrm>
                    <a:prstGeom prst="rect">
                      <a:avLst/>
                    </a:prstGeom>
                    <a:noFill/>
                    <a:ln>
                      <a:noFill/>
                    </a:ln>
                  </pic:spPr>
                </pic:pic>
              </a:graphicData>
            </a:graphic>
          </wp:inline>
        </w:drawing>
      </w:r>
    </w:p>
    <w:p w:rsidR="00874EF4" w:rsidRDefault="001007D7">
      <w:pPr>
        <w:jc w:val="center"/>
      </w:pPr>
      <w:r>
        <w:rPr>
          <w:b/>
        </w:rPr>
        <w:t xml:space="preserve">Figure 2 - </w:t>
      </w:r>
      <w:r>
        <w:t>IoT location for the computation of the SNR evolution during a satellite path given by α</w:t>
      </w:r>
      <w:r>
        <w:rPr>
          <w:vertAlign w:val="subscript"/>
        </w:rPr>
        <w:t>max</w:t>
      </w:r>
      <w:r>
        <w:t>.</w:t>
      </w:r>
    </w:p>
    <w:p w:rsidR="00874EF4" w:rsidRDefault="00874EF4">
      <w:pPr>
        <w:jc w:val="left"/>
      </w:pPr>
    </w:p>
    <w:p w:rsidR="00874EF4" w:rsidRDefault="00874EF4">
      <w:pPr>
        <w:jc w:val="left"/>
      </w:pPr>
    </w:p>
    <w:p w:rsidR="00874EF4" w:rsidRDefault="00874EF4"/>
    <w:p w:rsidR="00874EF4" w:rsidRDefault="001007D7">
      <w:r>
        <w:rPr>
          <w:noProof/>
        </w:rPr>
        <w:drawing>
          <wp:inline distT="0" distB="0" distL="0" distR="0">
            <wp:extent cx="6124575" cy="3624580"/>
            <wp:effectExtent l="0" t="0" r="0" b="0"/>
            <wp:docPr id="30" name="image5.jpg"/>
            <wp:cNvGraphicFramePr/>
            <a:graphic xmlns:a="http://schemas.openxmlformats.org/drawingml/2006/main">
              <a:graphicData uri="http://schemas.openxmlformats.org/drawingml/2006/picture">
                <pic:pic xmlns:pic="http://schemas.openxmlformats.org/drawingml/2006/picture">
                  <pic:nvPicPr>
                    <pic:cNvPr id="0" name="image5.jpg"/>
                    <pic:cNvPicPr preferRelativeResize="0"/>
                  </pic:nvPicPr>
                  <pic:blipFill>
                    <a:blip r:embed="rId9"/>
                    <a:srcRect t="36230" b="4586"/>
                    <a:stretch>
                      <a:fillRect/>
                    </a:stretch>
                  </pic:blipFill>
                  <pic:spPr>
                    <a:xfrm>
                      <a:off x="0" y="0"/>
                      <a:ext cx="6124575" cy="3624580"/>
                    </a:xfrm>
                    <a:prstGeom prst="rect">
                      <a:avLst/>
                    </a:prstGeom>
                    <a:ln/>
                  </pic:spPr>
                </pic:pic>
              </a:graphicData>
            </a:graphic>
          </wp:inline>
        </w:drawing>
      </w:r>
    </w:p>
    <w:p w:rsidR="00874EF4" w:rsidRDefault="001007D7">
      <w:pPr>
        <w:jc w:val="center"/>
      </w:pPr>
      <w:r>
        <w:rPr>
          <w:b/>
        </w:rPr>
        <w:t>Figure 3</w:t>
      </w:r>
      <w:r>
        <w:t xml:space="preserve"> – Illustration of the antenna gain in the satellite beam centered around Nadir and representation of the traces corresponding to antenna gain seen by </w:t>
      </w:r>
      <w:proofErr w:type="gramStart"/>
      <w:r>
        <w:t>a</w:t>
      </w:r>
      <w:proofErr w:type="gramEnd"/>
      <w:r>
        <w:t xml:space="preserve"> IoT device for different values of α</w:t>
      </w:r>
      <w:r>
        <w:rPr>
          <w:vertAlign w:val="subscript"/>
        </w:rPr>
        <w:t>max</w:t>
      </w:r>
    </w:p>
    <w:p w:rsidR="00874EF4" w:rsidRDefault="00874EF4">
      <w:pPr>
        <w:jc w:val="left"/>
      </w:pPr>
    </w:p>
    <w:p w:rsidR="00874EF4" w:rsidRDefault="001007D7">
      <w:pPr>
        <w:jc w:val="left"/>
      </w:pPr>
      <w:r>
        <w:t>Figure 4 and Figure 5 show, respectively for Configuration A and Configuration B, the observed time evolution of the SNR for maximum elevation angles of 30, 50, 70 and 90 degrees.</w:t>
      </w:r>
    </w:p>
    <w:p w:rsidR="00874EF4" w:rsidRDefault="00874EF4"/>
    <w:tbl>
      <w:tblPr>
        <w:tblStyle w:val="affff0"/>
        <w:tblW w:w="9628" w:type="dxa"/>
        <w:tblInd w:w="0" w:type="dxa"/>
        <w:tblLayout w:type="fixed"/>
        <w:tblLook w:val="0400" w:firstRow="0" w:lastRow="0" w:firstColumn="0" w:lastColumn="0" w:noHBand="0" w:noVBand="1"/>
      </w:tblPr>
      <w:tblGrid>
        <w:gridCol w:w="4814"/>
        <w:gridCol w:w="4814"/>
      </w:tblGrid>
      <w:tr w:rsidR="00874EF4">
        <w:tc>
          <w:tcPr>
            <w:tcW w:w="4814" w:type="dxa"/>
          </w:tcPr>
          <w:p w:rsidR="00874EF4" w:rsidRDefault="001007D7">
            <w:r>
              <w:rPr>
                <w:noProof/>
              </w:rPr>
              <w:drawing>
                <wp:inline distT="0" distB="0" distL="0" distR="0">
                  <wp:extent cx="3170873" cy="2394332"/>
                  <wp:effectExtent l="0" t="0" r="0" b="0"/>
                  <wp:docPr id="29" name="image4.jpg"/>
                  <wp:cNvGraphicFramePr/>
                  <a:graphic xmlns:a="http://schemas.openxmlformats.org/drawingml/2006/main">
                    <a:graphicData uri="http://schemas.openxmlformats.org/drawingml/2006/picture">
                      <pic:pic xmlns:pic="http://schemas.openxmlformats.org/drawingml/2006/picture">
                        <pic:nvPicPr>
                          <pic:cNvPr id="0" name="image4.jpg"/>
                          <pic:cNvPicPr preferRelativeResize="0"/>
                        </pic:nvPicPr>
                        <pic:blipFill>
                          <a:blip r:embed="rId10"/>
                          <a:srcRect l="185" r="184"/>
                          <a:stretch>
                            <a:fillRect/>
                          </a:stretch>
                        </pic:blipFill>
                        <pic:spPr>
                          <a:xfrm>
                            <a:off x="0" y="0"/>
                            <a:ext cx="3170873" cy="2394332"/>
                          </a:xfrm>
                          <a:prstGeom prst="rect">
                            <a:avLst/>
                          </a:prstGeom>
                          <a:ln/>
                        </pic:spPr>
                      </pic:pic>
                    </a:graphicData>
                  </a:graphic>
                </wp:inline>
              </w:drawing>
            </w:r>
          </w:p>
        </w:tc>
        <w:tc>
          <w:tcPr>
            <w:tcW w:w="4814" w:type="dxa"/>
          </w:tcPr>
          <w:p w:rsidR="00874EF4" w:rsidRDefault="001007D7">
            <w:r>
              <w:rPr>
                <w:noProof/>
              </w:rPr>
              <w:drawing>
                <wp:inline distT="0" distB="0" distL="0" distR="0">
                  <wp:extent cx="3168996" cy="2392916"/>
                  <wp:effectExtent l="0" t="0" r="0" b="0"/>
                  <wp:docPr id="32" name="image6.jpg"/>
                  <wp:cNvGraphicFramePr/>
                  <a:graphic xmlns:a="http://schemas.openxmlformats.org/drawingml/2006/main">
                    <a:graphicData uri="http://schemas.openxmlformats.org/drawingml/2006/picture">
                      <pic:pic xmlns:pic="http://schemas.openxmlformats.org/drawingml/2006/picture">
                        <pic:nvPicPr>
                          <pic:cNvPr id="0" name="image6.jpg"/>
                          <pic:cNvPicPr preferRelativeResize="0"/>
                        </pic:nvPicPr>
                        <pic:blipFill>
                          <a:blip r:embed="rId11"/>
                          <a:srcRect l="185" r="184"/>
                          <a:stretch>
                            <a:fillRect/>
                          </a:stretch>
                        </pic:blipFill>
                        <pic:spPr>
                          <a:xfrm>
                            <a:off x="0" y="0"/>
                            <a:ext cx="3168996" cy="2392916"/>
                          </a:xfrm>
                          <a:prstGeom prst="rect">
                            <a:avLst/>
                          </a:prstGeom>
                          <a:ln/>
                        </pic:spPr>
                      </pic:pic>
                    </a:graphicData>
                  </a:graphic>
                </wp:inline>
              </w:drawing>
            </w:r>
          </w:p>
        </w:tc>
      </w:tr>
    </w:tbl>
    <w:p w:rsidR="00874EF4" w:rsidRDefault="001007D7">
      <w:pPr>
        <w:jc w:val="center"/>
      </w:pPr>
      <w:r>
        <w:rPr>
          <w:b/>
        </w:rPr>
        <w:t>Figure 4</w:t>
      </w:r>
      <w:r>
        <w:t xml:space="preserve"> – SNR evolution seen for different values of α</w:t>
      </w:r>
      <w:r>
        <w:rPr>
          <w:vertAlign w:val="subscript"/>
        </w:rPr>
        <w:t>max</w:t>
      </w:r>
      <w:r>
        <w:t xml:space="preserve"> under </w:t>
      </w:r>
      <w:r>
        <w:rPr>
          <w:b/>
        </w:rPr>
        <w:t>Configuration A</w:t>
      </w:r>
    </w:p>
    <w:p w:rsidR="00874EF4" w:rsidRDefault="00874EF4">
      <w:pPr>
        <w:jc w:val="center"/>
        <w:rPr>
          <w:highlight w:val="yellow"/>
        </w:rPr>
      </w:pPr>
    </w:p>
    <w:tbl>
      <w:tblPr>
        <w:tblStyle w:val="affff1"/>
        <w:tblW w:w="9628" w:type="dxa"/>
        <w:tblInd w:w="0" w:type="dxa"/>
        <w:tblLayout w:type="fixed"/>
        <w:tblLook w:val="0400" w:firstRow="0" w:lastRow="0" w:firstColumn="0" w:lastColumn="0" w:noHBand="0" w:noVBand="1"/>
      </w:tblPr>
      <w:tblGrid>
        <w:gridCol w:w="4814"/>
        <w:gridCol w:w="4814"/>
      </w:tblGrid>
      <w:tr w:rsidR="00874EF4">
        <w:tc>
          <w:tcPr>
            <w:tcW w:w="4814" w:type="dxa"/>
          </w:tcPr>
          <w:p w:rsidR="00874EF4" w:rsidRDefault="001007D7">
            <w:r>
              <w:rPr>
                <w:noProof/>
              </w:rPr>
              <w:drawing>
                <wp:inline distT="0" distB="0" distL="0" distR="0">
                  <wp:extent cx="3162098" cy="2387707"/>
                  <wp:effectExtent l="0" t="0" r="0" b="0"/>
                  <wp:docPr id="31"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2"/>
                          <a:srcRect l="185" r="184"/>
                          <a:stretch>
                            <a:fillRect/>
                          </a:stretch>
                        </pic:blipFill>
                        <pic:spPr>
                          <a:xfrm>
                            <a:off x="0" y="0"/>
                            <a:ext cx="3162098" cy="2387707"/>
                          </a:xfrm>
                          <a:prstGeom prst="rect">
                            <a:avLst/>
                          </a:prstGeom>
                          <a:ln/>
                        </pic:spPr>
                      </pic:pic>
                    </a:graphicData>
                  </a:graphic>
                </wp:inline>
              </w:drawing>
            </w:r>
          </w:p>
        </w:tc>
        <w:tc>
          <w:tcPr>
            <w:tcW w:w="4814" w:type="dxa"/>
          </w:tcPr>
          <w:p w:rsidR="00874EF4" w:rsidRDefault="001007D7">
            <w:r>
              <w:rPr>
                <w:noProof/>
              </w:rPr>
              <w:drawing>
                <wp:inline distT="0" distB="0" distL="0" distR="0">
                  <wp:extent cx="3139576" cy="2378182"/>
                  <wp:effectExtent l="0" t="0" r="0" b="0"/>
                  <wp:docPr id="34"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3"/>
                          <a:srcRect l="185" r="184"/>
                          <a:stretch>
                            <a:fillRect/>
                          </a:stretch>
                        </pic:blipFill>
                        <pic:spPr>
                          <a:xfrm>
                            <a:off x="0" y="0"/>
                            <a:ext cx="3139576" cy="2378182"/>
                          </a:xfrm>
                          <a:prstGeom prst="rect">
                            <a:avLst/>
                          </a:prstGeom>
                          <a:ln/>
                        </pic:spPr>
                      </pic:pic>
                    </a:graphicData>
                  </a:graphic>
                </wp:inline>
              </w:drawing>
            </w:r>
          </w:p>
        </w:tc>
      </w:tr>
    </w:tbl>
    <w:p w:rsidR="00874EF4" w:rsidRDefault="001007D7">
      <w:pPr>
        <w:jc w:val="center"/>
      </w:pPr>
      <w:r>
        <w:rPr>
          <w:b/>
        </w:rPr>
        <w:t>Figure 5</w:t>
      </w:r>
      <w:r>
        <w:t xml:space="preserve"> – SNR evolution seen for different values of α</w:t>
      </w:r>
      <w:r>
        <w:rPr>
          <w:vertAlign w:val="subscript"/>
        </w:rPr>
        <w:t>max</w:t>
      </w:r>
      <w:r>
        <w:t xml:space="preserve"> under </w:t>
      </w:r>
      <w:r>
        <w:rPr>
          <w:b/>
        </w:rPr>
        <w:t>Configuration B</w:t>
      </w:r>
    </w:p>
    <w:p w:rsidR="00874EF4" w:rsidRDefault="00874EF4">
      <w:pPr>
        <w:rPr>
          <w:highlight w:val="yellow"/>
        </w:rPr>
      </w:pPr>
    </w:p>
    <w:p w:rsidR="00874EF4" w:rsidRDefault="001007D7">
      <w:pPr>
        <w:pStyle w:val="Ttulo1"/>
        <w:numPr>
          <w:ilvl w:val="0"/>
          <w:numId w:val="5"/>
        </w:numPr>
      </w:pPr>
      <w:bookmarkStart w:id="6" w:name="_heading=h.lnxbz9" w:colFirst="0" w:colLast="0"/>
      <w:bookmarkEnd w:id="6"/>
      <w:r>
        <w:t>Conclusions</w:t>
      </w:r>
    </w:p>
    <w:p w:rsidR="00874EF4" w:rsidRDefault="001007D7">
      <w:pPr>
        <w:spacing w:before="0" w:after="120"/>
      </w:pPr>
      <w:r>
        <w:t xml:space="preserve">This document provides a link budget analysis for the case of a large, single-beam scenario configuration compliant with Set-4 parameters. </w:t>
      </w:r>
    </w:p>
    <w:p w:rsidR="00874EF4" w:rsidRDefault="001007D7">
      <w:r>
        <w:t>In addition, the following proposal is made:</w:t>
      </w:r>
    </w:p>
    <w:p w:rsidR="00304216" w:rsidRDefault="00304216" w:rsidP="00304216">
      <w:pPr>
        <w:numPr>
          <w:ilvl w:val="0"/>
          <w:numId w:val="6"/>
        </w:numPr>
      </w:pPr>
      <w:r>
        <w:rPr>
          <w:b/>
        </w:rPr>
        <w:t>Proposal 1:</w:t>
      </w:r>
      <w:r>
        <w:t xml:space="preserve"> Revise the “</w:t>
      </w:r>
      <w:r w:rsidRPr="00304216">
        <w:rPr>
          <w:i/>
        </w:rPr>
        <w:t>Max beam footprint size (edge to edge) regardless of the elevation angle</w:t>
      </w:r>
      <w:r>
        <w:t xml:space="preserve">” parameter for LEO scenarios indicated in 3GPP TR 36.763 V0.1.0 Table 6.1-1: “IoT NTN reference scenario parameters” to 1700 km (currently the parameter is set to 1000 km for LEO scenarios). </w:t>
      </w:r>
    </w:p>
    <w:p w:rsidR="00874EF4" w:rsidRDefault="00874EF4">
      <w:pPr>
        <w:rPr>
          <w:b/>
          <w:sz w:val="24"/>
          <w:szCs w:val="24"/>
        </w:rPr>
      </w:pPr>
    </w:p>
    <w:p w:rsidR="00874EF4" w:rsidRDefault="001007D7">
      <w:pPr>
        <w:pStyle w:val="Ttulo1"/>
        <w:numPr>
          <w:ilvl w:val="0"/>
          <w:numId w:val="5"/>
        </w:numPr>
      </w:pPr>
      <w:bookmarkStart w:id="7" w:name="_heading=h.vf8j125whcii" w:colFirst="0" w:colLast="0"/>
      <w:bookmarkEnd w:id="7"/>
      <w:r>
        <w:lastRenderedPageBreak/>
        <w:t>Annexes</w:t>
      </w:r>
    </w:p>
    <w:p w:rsidR="00874EF4" w:rsidRDefault="001007D7">
      <w:pPr>
        <w:pStyle w:val="Ttulo1"/>
        <w:numPr>
          <w:ilvl w:val="1"/>
          <w:numId w:val="5"/>
        </w:numPr>
      </w:pPr>
      <w:bookmarkStart w:id="8" w:name="_heading=h.bxis0qeeoa03" w:colFirst="0" w:colLast="0"/>
      <w:bookmarkEnd w:id="8"/>
      <w:r>
        <w:t>Annex 1 - Antenna model</w:t>
      </w:r>
    </w:p>
    <w:p w:rsidR="00874EF4" w:rsidRDefault="001007D7">
      <w:r>
        <w:t xml:space="preserve">In order to model the gain within the satellite beam an antenna model must be assumed. The antenna </w:t>
      </w:r>
      <w:proofErr w:type="gramStart"/>
      <w:r>
        <w:t>gain</w:t>
      </w:r>
      <w:proofErr w:type="gramEnd"/>
      <w:r>
        <w:t xml:space="preserve"> of 11 </w:t>
      </w:r>
      <w:proofErr w:type="spellStart"/>
      <w:r>
        <w:t>dBi</w:t>
      </w:r>
      <w:proofErr w:type="spellEnd"/>
      <w:r>
        <w:t xml:space="preserve"> and H-HPBW of 104.7 degrees are given. The V-HPBW is chosen as 40 degrees to account for the restrictions of a feasible implementation (i.e. antenna gains of 11 </w:t>
      </w:r>
      <w:proofErr w:type="spellStart"/>
      <w:r>
        <w:t>dBi</w:t>
      </w:r>
      <w:proofErr w:type="spellEnd"/>
      <w:r>
        <w:t xml:space="preserve"> cannot be achieved with a symmetrical radiation pattern of 104.7 degrees but can be approached by narrowing the V-HPBW of the antenna based on the use of antenna arrays). </w:t>
      </w:r>
    </w:p>
    <w:p w:rsidR="00874EF4" w:rsidRDefault="001007D7">
      <w:r>
        <w:t>In order to interpolate antenna gains between the maximum antenna gain and the HPBW the antenna directivity must be described by a continuous function. A sinus-function was adopted to describe the antenna directivity and a scaled version was defined as:</w:t>
      </w:r>
    </w:p>
    <w:p w:rsidR="00874EF4" w:rsidRDefault="001007D7">
      <w:pPr>
        <w:jc w:val="center"/>
        <w:rPr>
          <w:rFonts w:ascii="Cambria Math" w:eastAsia="Cambria Math" w:hAnsi="Cambria Math" w:cs="Cambria Math"/>
        </w:rPr>
      </w:pPr>
      <m:oMathPara>
        <m:oMath>
          <m:r>
            <w:rPr>
              <w:rFonts w:ascii="Cambria Math" w:eastAsia="Cambria Math" w:hAnsi="Cambria Math" w:cs="Cambria Math"/>
            </w:rPr>
            <m:t>D(</m:t>
          </m:r>
          <m:sSup>
            <m:sSupPr>
              <m:ctrlPr>
                <w:rPr>
                  <w:rFonts w:ascii="Cambria Math" w:eastAsia="Cambria Math" w:hAnsi="Cambria Math" w:cs="Cambria Math"/>
                </w:rPr>
              </m:ctrlPr>
            </m:sSupPr>
            <m:e>
              <m:r>
                <w:rPr>
                  <w:rFonts w:ascii="Cambria Math" w:eastAsia="Cambria Math" w:hAnsi="Cambria Math" w:cs="Cambria Math"/>
                </w:rPr>
                <m:t>β</m:t>
              </m:r>
            </m:e>
            <m:sup>
              <m:r>
                <w:rPr>
                  <w:rFonts w:ascii="Cambria Math" w:eastAsia="Cambria Math" w:hAnsi="Cambria Math" w:cs="Cambria Math"/>
                </w:rPr>
                <m:t>plane</m:t>
              </m:r>
            </m:sup>
          </m:sSup>
          <m:r>
            <w:rPr>
              <w:rFonts w:ascii="Cambria Math" w:eastAsia="Cambria Math" w:hAnsi="Cambria Math" w:cs="Cambria Math"/>
            </w:rPr>
            <m:t>,</m:t>
          </m:r>
          <m:sSub>
            <m:sSubPr>
              <m:ctrlPr>
                <w:rPr>
                  <w:rFonts w:ascii="Cambria Math" w:eastAsia="Cambria Math" w:hAnsi="Cambria Math" w:cs="Cambria Math"/>
                </w:rPr>
              </m:ctrlPr>
            </m:sSubPr>
            <m:e>
              <m:r>
                <w:rPr>
                  <w:rFonts w:ascii="Cambria Math" w:eastAsia="Cambria Math" w:hAnsi="Cambria Math" w:cs="Cambria Math"/>
                </w:rPr>
                <m:t>k</m:t>
              </m:r>
            </m:e>
            <m:sub>
              <m:r>
                <w:rPr>
                  <w:rFonts w:ascii="Cambria Math" w:eastAsia="Cambria Math" w:hAnsi="Cambria Math" w:cs="Cambria Math"/>
                </w:rPr>
                <m:t>x</m:t>
              </m:r>
            </m:sub>
          </m:sSub>
          <m:r>
            <w:rPr>
              <w:rFonts w:ascii="Cambria Math" w:eastAsia="Cambria Math" w:hAnsi="Cambria Math" w:cs="Cambria Math"/>
            </w:rPr>
            <m:t xml:space="preserve"> )=sin(</m:t>
          </m:r>
          <m:f>
            <m:fPr>
              <m:ctrlPr>
                <w:rPr>
                  <w:rFonts w:ascii="Cambria Math" w:eastAsia="Cambria Math" w:hAnsi="Cambria Math" w:cs="Cambria Math"/>
                </w:rPr>
              </m:ctrlPr>
            </m:fPr>
            <m:num>
              <m:r>
                <w:rPr>
                  <w:rFonts w:ascii="Cambria Math" w:eastAsia="Cambria Math" w:hAnsi="Cambria Math" w:cs="Cambria Math"/>
                </w:rPr>
                <m:t>2(</m:t>
              </m:r>
              <m:sSup>
                <m:sSupPr>
                  <m:ctrlPr>
                    <w:rPr>
                      <w:rFonts w:ascii="Cambria Math" w:eastAsia="Cambria Math" w:hAnsi="Cambria Math" w:cs="Cambria Math"/>
                    </w:rPr>
                  </m:ctrlPr>
                </m:sSupPr>
                <m:e>
                  <m:r>
                    <w:rPr>
                      <w:rFonts w:ascii="Cambria Math" w:eastAsia="Cambria Math" w:hAnsi="Cambria Math" w:cs="Cambria Math"/>
                    </w:rPr>
                    <m:t>β</m:t>
                  </m:r>
                </m:e>
                <m:sup>
                  <m:r>
                    <w:rPr>
                      <w:rFonts w:ascii="Cambria Math" w:eastAsia="Cambria Math" w:hAnsi="Cambria Math" w:cs="Cambria Math"/>
                    </w:rPr>
                    <m:t>x</m:t>
                  </m:r>
                </m:sup>
              </m:sSup>
              <m:r>
                <w:rPr>
                  <w:rFonts w:ascii="Cambria Math" w:eastAsia="Cambria Math" w:hAnsi="Cambria Math" w:cs="Cambria Math"/>
                </w:rPr>
                <m:t>-</m:t>
              </m:r>
              <m:sSub>
                <m:sSubPr>
                  <m:ctrlPr>
                    <w:rPr>
                      <w:rFonts w:ascii="Cambria Math" w:eastAsia="Cambria Math" w:hAnsi="Cambria Math" w:cs="Cambria Math"/>
                    </w:rPr>
                  </m:ctrlPr>
                </m:sSubPr>
                <m:e>
                  <m:sSup>
                    <m:sSupPr>
                      <m:ctrlPr>
                        <w:rPr>
                          <w:rFonts w:ascii="Cambria Math" w:eastAsia="Cambria Math" w:hAnsi="Cambria Math" w:cs="Cambria Math"/>
                        </w:rPr>
                      </m:ctrlPr>
                    </m:sSupPr>
                    <m:e>
                      <m:r>
                        <w:rPr>
                          <w:rFonts w:ascii="Cambria Math" w:eastAsia="Cambria Math" w:hAnsi="Cambria Math" w:cs="Cambria Math"/>
                        </w:rPr>
                        <m:t>β</m:t>
                      </m:r>
                    </m:e>
                    <m:sup>
                      <m:r>
                        <w:rPr>
                          <w:rFonts w:ascii="Cambria Math" w:eastAsia="Cambria Math" w:hAnsi="Cambria Math" w:cs="Cambria Math"/>
                        </w:rPr>
                        <m:t>x</m:t>
                      </m:r>
                    </m:sup>
                  </m:sSup>
                </m:e>
                <m:sub>
                  <m:r>
                    <w:rPr>
                      <w:rFonts w:ascii="Cambria Math" w:eastAsia="Cambria Math" w:hAnsi="Cambria Math" w:cs="Cambria Math"/>
                    </w:rPr>
                    <m:t xml:space="preserve">C </m:t>
                  </m:r>
                </m:sub>
              </m:sSub>
              <m:r>
                <w:rPr>
                  <w:rFonts w:ascii="Cambria Math" w:eastAsia="Cambria Math" w:hAnsi="Cambria Math" w:cs="Cambria Math"/>
                </w:rPr>
                <m:t xml:space="preserve"> )</m:t>
              </m:r>
            </m:num>
            <m:den>
              <m:r>
                <w:rPr>
                  <w:rFonts w:ascii="Cambria Math" w:eastAsia="Cambria Math" w:hAnsi="Cambria Math" w:cs="Cambria Math"/>
                </w:rPr>
                <m:t>HPB</m:t>
              </m:r>
              <m:sSub>
                <m:sSubPr>
                  <m:ctrlPr>
                    <w:rPr>
                      <w:rFonts w:ascii="Cambria Math" w:eastAsia="Cambria Math" w:hAnsi="Cambria Math" w:cs="Cambria Math"/>
                    </w:rPr>
                  </m:ctrlPr>
                </m:sSubPr>
                <m:e>
                  <m:r>
                    <w:rPr>
                      <w:rFonts w:ascii="Cambria Math" w:eastAsia="Cambria Math" w:hAnsi="Cambria Math" w:cs="Cambria Math"/>
                    </w:rPr>
                    <m:t>W</m:t>
                  </m:r>
                </m:e>
                <m:sub>
                  <m:r>
                    <w:rPr>
                      <w:rFonts w:ascii="Cambria Math" w:eastAsia="Cambria Math" w:hAnsi="Cambria Math" w:cs="Cambria Math"/>
                    </w:rPr>
                    <m:t>x</m:t>
                  </m:r>
                </m:sub>
              </m:sSub>
              <m:r>
                <w:rPr>
                  <w:rFonts w:ascii="Cambria Math" w:eastAsia="Cambria Math" w:hAnsi="Cambria Math" w:cs="Cambria Math"/>
                </w:rPr>
                <m:t xml:space="preserve"> </m:t>
              </m:r>
            </m:den>
          </m:f>
          <m:r>
            <w:rPr>
              <w:rFonts w:ascii="Cambria Math" w:eastAsia="Cambria Math" w:hAnsi="Cambria Math" w:cs="Cambria Math"/>
            </w:rPr>
            <m:t>⋅si</m:t>
          </m:r>
          <m:sSup>
            <m:sSupPr>
              <m:ctrlPr>
                <w:rPr>
                  <w:rFonts w:ascii="Cambria Math" w:eastAsia="Cambria Math" w:hAnsi="Cambria Math" w:cs="Cambria Math"/>
                </w:rPr>
              </m:ctrlPr>
            </m:sSupPr>
            <m:e>
              <m:r>
                <w:rPr>
                  <w:rFonts w:ascii="Cambria Math" w:eastAsia="Cambria Math" w:hAnsi="Cambria Math" w:cs="Cambria Math"/>
                </w:rPr>
                <m:t>n</m:t>
              </m:r>
            </m:e>
            <m:sup>
              <m:r>
                <w:rPr>
                  <w:rFonts w:ascii="Cambria Math" w:eastAsia="Cambria Math" w:hAnsi="Cambria Math" w:cs="Cambria Math"/>
                </w:rPr>
                <m:t>-1</m:t>
              </m:r>
            </m:sup>
          </m:sSup>
          <m:r>
            <w:rPr>
              <w:rFonts w:ascii="Cambria Math" w:eastAsia="Cambria Math" w:hAnsi="Cambria Math" w:cs="Cambria Math"/>
            </w:rPr>
            <m:t>⁡(0.</m:t>
          </m:r>
          <m:sSup>
            <m:sSupPr>
              <m:ctrlPr>
                <w:rPr>
                  <w:rFonts w:ascii="Cambria Math" w:eastAsia="Cambria Math" w:hAnsi="Cambria Math" w:cs="Cambria Math"/>
                </w:rPr>
              </m:ctrlPr>
            </m:sSupPr>
            <m:e>
              <m:r>
                <w:rPr>
                  <w:rFonts w:ascii="Cambria Math" w:eastAsia="Cambria Math" w:hAnsi="Cambria Math" w:cs="Cambria Math"/>
                </w:rPr>
                <m:t>5</m:t>
              </m:r>
            </m:e>
            <m:sup>
              <m:r>
                <w:rPr>
                  <w:rFonts w:ascii="Cambria Math" w:eastAsia="Cambria Math" w:hAnsi="Cambria Math" w:cs="Cambria Math"/>
                </w:rPr>
                <m:t>1/</m:t>
              </m:r>
              <m:sSub>
                <m:sSubPr>
                  <m:ctrlPr>
                    <w:rPr>
                      <w:rFonts w:ascii="Cambria Math" w:eastAsia="Cambria Math" w:hAnsi="Cambria Math" w:cs="Cambria Math"/>
                    </w:rPr>
                  </m:ctrlPr>
                </m:sSubPr>
                <m:e>
                  <m:r>
                    <w:rPr>
                      <w:rFonts w:ascii="Cambria Math" w:eastAsia="Cambria Math" w:hAnsi="Cambria Math" w:cs="Cambria Math"/>
                    </w:rPr>
                    <m:t>k</m:t>
                  </m:r>
                </m:e>
                <m:sub>
                  <m:r>
                    <w:rPr>
                      <w:rFonts w:ascii="Cambria Math" w:eastAsia="Cambria Math" w:hAnsi="Cambria Math" w:cs="Cambria Math"/>
                    </w:rPr>
                    <m:t>x</m:t>
                  </m:r>
                </m:sub>
              </m:sSub>
            </m:sup>
          </m:sSup>
          <m:r>
            <w:rPr>
              <w:rFonts w:ascii="Cambria Math" w:eastAsia="Cambria Math" w:hAnsi="Cambria Math" w:cs="Cambria Math"/>
            </w:rPr>
            <m:t>-</m:t>
          </m:r>
          <m:f>
            <m:fPr>
              <m:ctrlPr>
                <w:rPr>
                  <w:rFonts w:ascii="Cambria Math" w:eastAsia="Cambria Math" w:hAnsi="Cambria Math" w:cs="Cambria Math"/>
                </w:rPr>
              </m:ctrlPr>
            </m:fPr>
            <m:num>
              <m:r>
                <w:rPr>
                  <w:rFonts w:ascii="Cambria Math" w:eastAsia="Cambria Math" w:hAnsi="Cambria Math" w:cs="Cambria Math"/>
                </w:rPr>
                <m:t>π</m:t>
              </m:r>
            </m:num>
            <m:den>
              <m:r>
                <w:rPr>
                  <w:rFonts w:ascii="Cambria Math" w:eastAsia="Cambria Math" w:hAnsi="Cambria Math" w:cs="Cambria Math"/>
                </w:rPr>
                <m:t>2</m:t>
              </m:r>
            </m:den>
          </m:f>
          <m:r>
            <w:rPr>
              <w:rFonts w:ascii="Cambria Math" w:eastAsia="Cambria Math" w:hAnsi="Cambria Math" w:cs="Cambria Math"/>
            </w:rPr>
            <m:t>)+</m:t>
          </m:r>
          <m:f>
            <m:fPr>
              <m:ctrlPr>
                <w:rPr>
                  <w:rFonts w:ascii="Cambria Math" w:eastAsia="Cambria Math" w:hAnsi="Cambria Math" w:cs="Cambria Math"/>
                </w:rPr>
              </m:ctrlPr>
            </m:fPr>
            <m:num>
              <m:r>
                <w:rPr>
                  <w:rFonts w:ascii="Cambria Math" w:eastAsia="Cambria Math" w:hAnsi="Cambria Math" w:cs="Cambria Math"/>
                </w:rPr>
                <m:t>π</m:t>
              </m:r>
            </m:num>
            <m:den>
              <m:r>
                <w:rPr>
                  <w:rFonts w:ascii="Cambria Math" w:eastAsia="Cambria Math" w:hAnsi="Cambria Math" w:cs="Cambria Math"/>
                </w:rPr>
                <m:t>2</m:t>
              </m:r>
            </m:den>
          </m:f>
          <m:sSup>
            <m:sSupPr>
              <m:ctrlPr>
                <w:rPr>
                  <w:rFonts w:ascii="Cambria Math" w:eastAsia="Cambria Math" w:hAnsi="Cambria Math" w:cs="Cambria Math"/>
                </w:rPr>
              </m:ctrlPr>
            </m:sSupPr>
            <m:e>
              <m:r>
                <w:rPr>
                  <w:rFonts w:ascii="Cambria Math" w:eastAsia="Cambria Math" w:hAnsi="Cambria Math" w:cs="Cambria Math"/>
                </w:rPr>
                <m:t>)</m:t>
              </m:r>
            </m:e>
            <m:sup>
              <m:sSub>
                <m:sSubPr>
                  <m:ctrlPr>
                    <w:rPr>
                      <w:rFonts w:ascii="Cambria Math" w:eastAsia="Cambria Math" w:hAnsi="Cambria Math" w:cs="Cambria Math"/>
                    </w:rPr>
                  </m:ctrlPr>
                </m:sSubPr>
                <m:e>
                  <m:r>
                    <w:rPr>
                      <w:rFonts w:ascii="Cambria Math" w:eastAsia="Cambria Math" w:hAnsi="Cambria Math" w:cs="Cambria Math"/>
                    </w:rPr>
                    <m:t>k</m:t>
                  </m:r>
                </m:e>
                <m:sub>
                  <m:r>
                    <w:rPr>
                      <w:rFonts w:ascii="Cambria Math" w:eastAsia="Cambria Math" w:hAnsi="Cambria Math" w:cs="Cambria Math"/>
                    </w:rPr>
                    <m:t>x</m:t>
                  </m:r>
                </m:sub>
              </m:sSub>
            </m:sup>
          </m:sSup>
        </m:oMath>
      </m:oMathPara>
    </w:p>
    <w:p w:rsidR="00874EF4" w:rsidRDefault="00304216">
      <w:r>
        <w:t>w</w:t>
      </w:r>
      <w:r w:rsidR="001007D7">
        <w:t>here</w:t>
      </w:r>
      <w:r>
        <w:t xml:space="preserve"> </w:t>
      </w:r>
      <m:oMath>
        <m:sSub>
          <m:sSubPr>
            <m:ctrlPr>
              <w:rPr>
                <w:rFonts w:ascii="Cambria Math" w:eastAsia="Cambria Math" w:hAnsi="Cambria Math" w:cs="Cambria Math"/>
              </w:rPr>
            </m:ctrlPr>
          </m:sSubPr>
          <m:e>
            <m:r>
              <w:rPr>
                <w:rFonts w:ascii="Cambria Math" w:eastAsia="Cambria Math" w:hAnsi="Cambria Math" w:cs="Cambria Math"/>
              </w:rPr>
              <m:t>k</m:t>
            </m:r>
          </m:e>
          <m:sub>
            <m:r>
              <w:rPr>
                <w:rFonts w:ascii="Cambria Math" w:eastAsia="Cambria Math" w:hAnsi="Cambria Math" w:cs="Cambria Math"/>
              </w:rPr>
              <m:t>x</m:t>
            </m:r>
          </m:sub>
        </m:sSub>
      </m:oMath>
      <w:r w:rsidR="001007D7">
        <w:t xml:space="preserve">can be used to shape the directivity function, ie. broader BW range near maximum gain with steeper falloff for </w:t>
      </w:r>
      <m:oMath>
        <m:sSub>
          <m:sSubPr>
            <m:ctrlPr>
              <w:rPr>
                <w:rFonts w:ascii="Cambria Math" w:eastAsia="Cambria Math" w:hAnsi="Cambria Math" w:cs="Cambria Math"/>
              </w:rPr>
            </m:ctrlPr>
          </m:sSubPr>
          <m:e>
            <m:r>
              <w:rPr>
                <w:rFonts w:ascii="Cambria Math" w:eastAsia="Cambria Math" w:hAnsi="Cambria Math" w:cs="Cambria Math"/>
              </w:rPr>
              <m:t>k</m:t>
            </m:r>
          </m:e>
          <m:sub>
            <m:r>
              <w:rPr>
                <w:rFonts w:ascii="Cambria Math" w:eastAsia="Cambria Math" w:hAnsi="Cambria Math" w:cs="Cambria Math"/>
              </w:rPr>
              <m:t>x</m:t>
            </m:r>
          </m:sub>
        </m:sSub>
        <m:r>
          <w:rPr>
            <w:rFonts w:ascii="Cambria Math" w:eastAsia="Cambria Math" w:hAnsi="Cambria Math" w:cs="Cambria Math"/>
          </w:rPr>
          <m:t>&lt;1</m:t>
        </m:r>
      </m:oMath>
      <w:r w:rsidR="001007D7">
        <w:t xml:space="preserve"> and </w:t>
      </w:r>
      <w:r>
        <w:t>narrower</w:t>
      </w:r>
      <w:r w:rsidR="001007D7">
        <w:t xml:space="preserve"> BW range with a slower dropoff for </w:t>
      </w:r>
      <m:oMath>
        <m:sSub>
          <m:sSubPr>
            <m:ctrlPr>
              <w:rPr>
                <w:rFonts w:ascii="Cambria Math" w:eastAsia="Cambria Math" w:hAnsi="Cambria Math" w:cs="Cambria Math"/>
              </w:rPr>
            </m:ctrlPr>
          </m:sSubPr>
          <m:e>
            <m:r>
              <w:rPr>
                <w:rFonts w:ascii="Cambria Math" w:eastAsia="Cambria Math" w:hAnsi="Cambria Math" w:cs="Cambria Math"/>
              </w:rPr>
              <m:t>k</m:t>
            </m:r>
          </m:e>
          <m:sub>
            <m:r>
              <w:rPr>
                <w:rFonts w:ascii="Cambria Math" w:eastAsia="Cambria Math" w:hAnsi="Cambria Math" w:cs="Cambria Math"/>
              </w:rPr>
              <m:t>x</m:t>
            </m:r>
          </m:sub>
        </m:sSub>
      </m:oMath>
      <w:r w:rsidR="001007D7">
        <w:t>&gt; 1.</w:t>
      </w:r>
    </w:p>
    <w:p w:rsidR="00874EF4" w:rsidRDefault="001007D7">
      <w:r>
        <w:t xml:space="preserve">This directivity function has no sidelobes. </w:t>
      </w:r>
      <w:proofErr w:type="spellStart"/>
      <w:r>
        <w:t>Ie</w:t>
      </w:r>
      <w:proofErr w:type="spellEnd"/>
      <w:r>
        <w:t xml:space="preserve">. after the directivity gain reaches 0, it is zero for all further angles outside the HPBW. The directivity function gives a smooth transition towards 0 from the HPBW and serves to interpolate between the beam </w:t>
      </w:r>
      <w:proofErr w:type="spellStart"/>
      <w:r>
        <w:t>centre</w:t>
      </w:r>
      <w:proofErr w:type="spellEnd"/>
      <w:r>
        <w:t xml:space="preserve"> and HPBW.</w:t>
      </w:r>
    </w:p>
    <w:p w:rsidR="00874EF4" w:rsidRDefault="001007D7">
      <w:r>
        <w:t xml:space="preserve">It is assumed that </w:t>
      </w:r>
      <m:oMath>
        <m:sSub>
          <m:sSubPr>
            <m:ctrlPr>
              <w:rPr>
                <w:rFonts w:ascii="Cambria Math" w:eastAsia="Cambria Math" w:hAnsi="Cambria Math" w:cs="Cambria Math"/>
              </w:rPr>
            </m:ctrlPr>
          </m:sSubPr>
          <m:e>
            <m:r>
              <w:rPr>
                <w:rFonts w:ascii="Cambria Math" w:eastAsia="Cambria Math" w:hAnsi="Cambria Math" w:cs="Cambria Math"/>
              </w:rPr>
              <m:t>k</m:t>
            </m:r>
          </m:e>
          <m:sub>
            <m:r>
              <w:rPr>
                <w:rFonts w:ascii="Cambria Math" w:eastAsia="Cambria Math" w:hAnsi="Cambria Math" w:cs="Cambria Math"/>
              </w:rPr>
              <m:t>x</m:t>
            </m:r>
          </m:sub>
        </m:sSub>
        <m:r>
          <w:rPr>
            <w:rFonts w:ascii="Cambria Math" w:eastAsia="Cambria Math" w:hAnsi="Cambria Math" w:cs="Cambria Math"/>
          </w:rPr>
          <m:t>=1</m:t>
        </m:r>
      </m:oMath>
      <w:r>
        <w:t xml:space="preserve"> in both the horizontal and orthogonal plane.</w:t>
      </w:r>
    </w:p>
    <w:p w:rsidR="00874EF4" w:rsidRDefault="001007D7">
      <w:r>
        <w:rPr>
          <w:noProof/>
        </w:rPr>
        <w:drawing>
          <wp:inline distT="0" distB="0" distL="0" distR="0">
            <wp:extent cx="6124575" cy="1931769"/>
            <wp:effectExtent l="0" t="0" r="0" b="0"/>
            <wp:docPr id="33" name="image5.jpg"/>
            <wp:cNvGraphicFramePr/>
            <a:graphic xmlns:a="http://schemas.openxmlformats.org/drawingml/2006/main">
              <a:graphicData uri="http://schemas.openxmlformats.org/drawingml/2006/picture">
                <pic:pic xmlns:pic="http://schemas.openxmlformats.org/drawingml/2006/picture">
                  <pic:nvPicPr>
                    <pic:cNvPr id="0" name="image5.jpg"/>
                    <pic:cNvPicPr preferRelativeResize="0"/>
                  </pic:nvPicPr>
                  <pic:blipFill>
                    <a:blip r:embed="rId9"/>
                    <a:srcRect t="4586" b="63870"/>
                    <a:stretch>
                      <a:fillRect/>
                    </a:stretch>
                  </pic:blipFill>
                  <pic:spPr>
                    <a:xfrm>
                      <a:off x="0" y="0"/>
                      <a:ext cx="6124575" cy="1931769"/>
                    </a:xfrm>
                    <a:prstGeom prst="rect">
                      <a:avLst/>
                    </a:prstGeom>
                    <a:ln/>
                  </pic:spPr>
                </pic:pic>
              </a:graphicData>
            </a:graphic>
          </wp:inline>
        </w:drawing>
      </w:r>
    </w:p>
    <w:p w:rsidR="00874EF4" w:rsidRDefault="001007D7">
      <w:pPr>
        <w:jc w:val="center"/>
      </w:pPr>
      <w:r>
        <w:rPr>
          <w:b/>
        </w:rPr>
        <w:t>Figure 6</w:t>
      </w:r>
      <w:r>
        <w:t xml:space="preserve"> - The directivity functions in the vertical (orbital) and horizontal (orthogonal) planes.</w:t>
      </w:r>
    </w:p>
    <w:p w:rsidR="00874EF4" w:rsidRDefault="00874EF4"/>
    <w:p w:rsidR="00874EF4" w:rsidRDefault="001007D7">
      <w:pPr>
        <w:pStyle w:val="Ttulo1"/>
        <w:numPr>
          <w:ilvl w:val="0"/>
          <w:numId w:val="5"/>
        </w:numPr>
      </w:pPr>
      <w:r>
        <w:t>References</w:t>
      </w:r>
    </w:p>
    <w:p w:rsidR="00874EF4" w:rsidRDefault="001007D7">
      <w:pPr>
        <w:numPr>
          <w:ilvl w:val="0"/>
          <w:numId w:val="3"/>
        </w:numPr>
        <w:pBdr>
          <w:top w:val="nil"/>
          <w:left w:val="nil"/>
          <w:bottom w:val="nil"/>
          <w:right w:val="nil"/>
          <w:between w:val="nil"/>
        </w:pBdr>
        <w:spacing w:after="60"/>
        <w:ind w:left="230"/>
      </w:pPr>
      <w:r>
        <w:t>R1-2102272, “3GPP TR 36,763 V0.1.0“, 3GPP, March 2021</w:t>
      </w:r>
      <w:r>
        <w:br/>
      </w:r>
      <w:hyperlink r:id="rId14">
        <w:r>
          <w:rPr>
            <w:color w:val="1155CC"/>
            <w:u w:val="single"/>
          </w:rPr>
          <w:t>https://www.3gpp.org/ftp/tsg_ran/WG1_RL1/TSGR1_104-e/Docs/R1-2102272.zip</w:t>
        </w:r>
      </w:hyperlink>
    </w:p>
    <w:p w:rsidR="00874EF4" w:rsidRDefault="001007D7">
      <w:pPr>
        <w:numPr>
          <w:ilvl w:val="0"/>
          <w:numId w:val="3"/>
        </w:numPr>
        <w:pBdr>
          <w:top w:val="nil"/>
          <w:left w:val="nil"/>
          <w:bottom w:val="nil"/>
          <w:right w:val="nil"/>
          <w:between w:val="nil"/>
        </w:pBdr>
        <w:spacing w:after="60"/>
        <w:ind w:left="230"/>
      </w:pPr>
      <w:r>
        <w:t xml:space="preserve">R1-2101019, “Feasibility of the large, single-beam small </w:t>
      </w:r>
      <w:proofErr w:type="spellStart"/>
      <w:r>
        <w:t>sats</w:t>
      </w:r>
      <w:proofErr w:type="spellEnd"/>
      <w:r>
        <w:t xml:space="preserve"> / CubeSats scenario”, Thales, Sateliot, Gatehouse, 3GPP TSG RAN WG1 Meeting #104e, January 25th - February 5th, 2011</w:t>
      </w:r>
      <w:r>
        <w:br/>
      </w:r>
      <w:hyperlink r:id="rId15">
        <w:r>
          <w:rPr>
            <w:color w:val="1155CC"/>
            <w:u w:val="single"/>
          </w:rPr>
          <w:t>https://www.3gpp.org/ftp/TSG_RAN/WG1_RL1/TSGR1_104-e/Docs/R1-2101019.zip</w:t>
        </w:r>
      </w:hyperlink>
    </w:p>
    <w:p w:rsidR="00874EF4" w:rsidRDefault="00874EF4">
      <w:pPr>
        <w:pBdr>
          <w:top w:val="nil"/>
          <w:left w:val="nil"/>
          <w:bottom w:val="nil"/>
          <w:right w:val="nil"/>
          <w:between w:val="nil"/>
        </w:pBdr>
        <w:spacing w:after="60"/>
      </w:pPr>
    </w:p>
    <w:sectPr w:rsidR="00874EF4">
      <w:pgSz w:w="11906" w:h="16838"/>
      <w:pgMar w:top="1418" w:right="1134" w:bottom="1134" w:left="1134" w:header="851" w:footer="992"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0770D"/>
    <w:multiLevelType w:val="multilevel"/>
    <w:tmpl w:val="DA28C51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1B92627"/>
    <w:multiLevelType w:val="multilevel"/>
    <w:tmpl w:val="CAE8AF5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2F6E5402"/>
    <w:multiLevelType w:val="multilevel"/>
    <w:tmpl w:val="3C806D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33AF7963"/>
    <w:multiLevelType w:val="multilevel"/>
    <w:tmpl w:val="41BC4A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451B5F4D"/>
    <w:multiLevelType w:val="multilevel"/>
    <w:tmpl w:val="BA3074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4C533F1C"/>
    <w:multiLevelType w:val="multilevel"/>
    <w:tmpl w:val="C980D5A0"/>
    <w:lvl w:ilvl="0">
      <w:start w:val="1"/>
      <w:numFmt w:val="decimal"/>
      <w:lvlText w:val="[%1]"/>
      <w:lvlJc w:val="left"/>
      <w:pPr>
        <w:ind w:left="6031"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6" w15:restartNumberingAfterBreak="0">
    <w:nsid w:val="75DE1CD8"/>
    <w:multiLevelType w:val="multilevel"/>
    <w:tmpl w:val="7DA6EEA4"/>
    <w:lvl w:ilvl="0">
      <w:start w:val="1"/>
      <w:numFmt w:val="decimal"/>
      <w:pStyle w:val="Ttulo1"/>
      <w:lvlText w:val="%1."/>
      <w:lvlJc w:val="left"/>
      <w:pPr>
        <w:tabs>
          <w:tab w:val="num" w:pos="720"/>
        </w:tabs>
        <w:ind w:left="720" w:hanging="720"/>
      </w:pPr>
    </w:lvl>
    <w:lvl w:ilvl="1">
      <w:start w:val="1"/>
      <w:numFmt w:val="decimal"/>
      <w:pStyle w:val="Ttulo2"/>
      <w:lvlText w:val="%2."/>
      <w:lvlJc w:val="left"/>
      <w:pPr>
        <w:tabs>
          <w:tab w:val="num" w:pos="1440"/>
        </w:tabs>
        <w:ind w:left="1440" w:hanging="720"/>
      </w:pPr>
    </w:lvl>
    <w:lvl w:ilvl="2">
      <w:start w:val="1"/>
      <w:numFmt w:val="decimal"/>
      <w:pStyle w:val="Ttulo3"/>
      <w:lvlText w:val="%3."/>
      <w:lvlJc w:val="left"/>
      <w:pPr>
        <w:tabs>
          <w:tab w:val="num" w:pos="2160"/>
        </w:tabs>
        <w:ind w:left="2160" w:hanging="720"/>
      </w:pPr>
    </w:lvl>
    <w:lvl w:ilvl="3">
      <w:start w:val="1"/>
      <w:numFmt w:val="decimal"/>
      <w:pStyle w:val="Ttulo4"/>
      <w:lvlText w:val="%4."/>
      <w:lvlJc w:val="left"/>
      <w:pPr>
        <w:tabs>
          <w:tab w:val="num" w:pos="2880"/>
        </w:tabs>
        <w:ind w:left="2880" w:hanging="720"/>
      </w:pPr>
    </w:lvl>
    <w:lvl w:ilvl="4">
      <w:start w:val="1"/>
      <w:numFmt w:val="decimal"/>
      <w:pStyle w:val="Ttulo5"/>
      <w:lvlText w:val="%5."/>
      <w:lvlJc w:val="left"/>
      <w:pPr>
        <w:tabs>
          <w:tab w:val="num" w:pos="3600"/>
        </w:tabs>
        <w:ind w:left="3600" w:hanging="720"/>
      </w:pPr>
    </w:lvl>
    <w:lvl w:ilvl="5">
      <w:start w:val="1"/>
      <w:numFmt w:val="decimal"/>
      <w:pStyle w:val="Ttulo6"/>
      <w:lvlText w:val="%6."/>
      <w:lvlJc w:val="left"/>
      <w:pPr>
        <w:tabs>
          <w:tab w:val="num" w:pos="4320"/>
        </w:tabs>
        <w:ind w:left="4320" w:hanging="720"/>
      </w:pPr>
    </w:lvl>
    <w:lvl w:ilvl="6">
      <w:start w:val="1"/>
      <w:numFmt w:val="decimal"/>
      <w:pStyle w:val="Ttulo7"/>
      <w:lvlText w:val="%7."/>
      <w:lvlJc w:val="left"/>
      <w:pPr>
        <w:tabs>
          <w:tab w:val="num" w:pos="5040"/>
        </w:tabs>
        <w:ind w:left="5040" w:hanging="720"/>
      </w:pPr>
    </w:lvl>
    <w:lvl w:ilvl="7">
      <w:start w:val="1"/>
      <w:numFmt w:val="decimal"/>
      <w:pStyle w:val="Ttulo8"/>
      <w:lvlText w:val="%8."/>
      <w:lvlJc w:val="left"/>
      <w:pPr>
        <w:tabs>
          <w:tab w:val="num" w:pos="5760"/>
        </w:tabs>
        <w:ind w:left="5760" w:hanging="720"/>
      </w:pPr>
    </w:lvl>
    <w:lvl w:ilvl="8">
      <w:start w:val="1"/>
      <w:numFmt w:val="decimal"/>
      <w:pStyle w:val="Ttulo9"/>
      <w:lvlText w:val="%9."/>
      <w:lvlJc w:val="left"/>
      <w:pPr>
        <w:tabs>
          <w:tab w:val="num" w:pos="6480"/>
        </w:tabs>
        <w:ind w:left="6480" w:hanging="720"/>
      </w:pPr>
    </w:lvl>
  </w:abstractNum>
  <w:num w:numId="1">
    <w:abstractNumId w:val="3"/>
  </w:num>
  <w:num w:numId="2">
    <w:abstractNumId w:val="4"/>
  </w:num>
  <w:num w:numId="3">
    <w:abstractNumId w:val="5"/>
  </w:num>
  <w:num w:numId="4">
    <w:abstractNumId w:val="0"/>
  </w:num>
  <w:num w:numId="5">
    <w:abstractNumId w:val="1"/>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4EF4"/>
    <w:rsid w:val="001007D7"/>
    <w:rsid w:val="00122E1B"/>
    <w:rsid w:val="00304216"/>
    <w:rsid w:val="00874EF4"/>
    <w:rsid w:val="00CF1214"/>
    <w:rsid w:val="00E4139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49A252"/>
  <w15:docId w15:val="{04DBDDE4-6BC9-4793-BC90-12CFE5D44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US" w:eastAsia="es-ES" w:bidi="ar-SA"/>
      </w:rPr>
    </w:rPrDefault>
    <w:pPrDefault>
      <w:pPr>
        <w:tabs>
          <w:tab w:val="left" w:pos="0"/>
        </w:tabs>
        <w:spacing w:before="60" w:after="18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tulo1">
    <w:name w:val="heading 1"/>
    <w:basedOn w:val="Normal"/>
    <w:next w:val="Normal"/>
    <w:uiPriority w:val="9"/>
    <w:qFormat/>
    <w:pPr>
      <w:keepNext/>
      <w:numPr>
        <w:numId w:val="7"/>
      </w:numPr>
      <w:spacing w:before="360" w:after="240"/>
      <w:outlineLvl w:val="0"/>
    </w:pPr>
    <w:rPr>
      <w:rFonts w:ascii="Arial" w:eastAsia="Arial" w:hAnsi="Arial" w:cs="Arial"/>
      <w:b/>
      <w:sz w:val="28"/>
      <w:szCs w:val="28"/>
    </w:rPr>
  </w:style>
  <w:style w:type="paragraph" w:styleId="Ttulo2">
    <w:name w:val="heading 2"/>
    <w:basedOn w:val="Normal"/>
    <w:next w:val="Normal"/>
    <w:uiPriority w:val="9"/>
    <w:unhideWhenUsed/>
    <w:qFormat/>
    <w:pPr>
      <w:keepNext/>
      <w:numPr>
        <w:ilvl w:val="1"/>
        <w:numId w:val="7"/>
      </w:numPr>
      <w:jc w:val="left"/>
      <w:outlineLvl w:val="1"/>
    </w:pPr>
    <w:rPr>
      <w:rFonts w:ascii="Arial" w:eastAsia="Arial" w:hAnsi="Arial" w:cs="Arial"/>
      <w:b/>
      <w:sz w:val="24"/>
      <w:szCs w:val="24"/>
    </w:rPr>
  </w:style>
  <w:style w:type="paragraph" w:styleId="Ttulo3">
    <w:name w:val="heading 3"/>
    <w:basedOn w:val="Normal"/>
    <w:next w:val="Normal"/>
    <w:uiPriority w:val="9"/>
    <w:semiHidden/>
    <w:unhideWhenUsed/>
    <w:qFormat/>
    <w:pPr>
      <w:keepNext/>
      <w:numPr>
        <w:ilvl w:val="2"/>
        <w:numId w:val="7"/>
      </w:numPr>
      <w:outlineLvl w:val="2"/>
    </w:pPr>
    <w:rPr>
      <w:rFonts w:ascii="Arial" w:eastAsia="Arial" w:hAnsi="Arial" w:cs="Arial"/>
      <w:b/>
    </w:rPr>
  </w:style>
  <w:style w:type="paragraph" w:styleId="Ttulo4">
    <w:name w:val="heading 4"/>
    <w:basedOn w:val="Normal"/>
    <w:next w:val="Normal"/>
    <w:uiPriority w:val="9"/>
    <w:semiHidden/>
    <w:unhideWhenUsed/>
    <w:qFormat/>
    <w:pPr>
      <w:keepNext/>
      <w:numPr>
        <w:ilvl w:val="3"/>
        <w:numId w:val="7"/>
      </w:numPr>
      <w:outlineLvl w:val="3"/>
    </w:pPr>
    <w:rPr>
      <w:b/>
    </w:rPr>
  </w:style>
  <w:style w:type="paragraph" w:styleId="Ttulo5">
    <w:name w:val="heading 5"/>
    <w:basedOn w:val="Normal"/>
    <w:next w:val="Normal"/>
    <w:uiPriority w:val="9"/>
    <w:semiHidden/>
    <w:unhideWhenUsed/>
    <w:qFormat/>
    <w:pPr>
      <w:keepNext/>
      <w:keepLines/>
      <w:numPr>
        <w:ilvl w:val="4"/>
        <w:numId w:val="7"/>
      </w:numPr>
      <w:spacing w:before="220" w:after="40"/>
      <w:outlineLvl w:val="4"/>
    </w:pPr>
    <w:rPr>
      <w:b/>
    </w:rPr>
  </w:style>
  <w:style w:type="paragraph" w:styleId="Ttulo6">
    <w:name w:val="heading 6"/>
    <w:basedOn w:val="Normal"/>
    <w:next w:val="Normal"/>
    <w:uiPriority w:val="9"/>
    <w:semiHidden/>
    <w:unhideWhenUsed/>
    <w:qFormat/>
    <w:pPr>
      <w:keepNext/>
      <w:keepLines/>
      <w:numPr>
        <w:ilvl w:val="5"/>
        <w:numId w:val="7"/>
      </w:numPr>
      <w:spacing w:before="200" w:after="40"/>
      <w:outlineLvl w:val="5"/>
    </w:pPr>
    <w:rPr>
      <w:b/>
      <w:sz w:val="20"/>
      <w:szCs w:val="20"/>
    </w:rPr>
  </w:style>
  <w:style w:type="paragraph" w:styleId="Ttulo7">
    <w:name w:val="heading 7"/>
    <w:basedOn w:val="Normal"/>
    <w:next w:val="Normal"/>
    <w:link w:val="Ttulo7Car"/>
    <w:uiPriority w:val="9"/>
    <w:semiHidden/>
    <w:unhideWhenUsed/>
    <w:qFormat/>
    <w:rsid w:val="00081C30"/>
    <w:pPr>
      <w:keepNext/>
      <w:keepLines/>
      <w:numPr>
        <w:ilvl w:val="6"/>
        <w:numId w:val="7"/>
      </w:numPr>
      <w:spacing w:before="40" w:after="0"/>
      <w:outlineLvl w:val="6"/>
    </w:pPr>
    <w:rPr>
      <w:rFonts w:asciiTheme="majorHAnsi" w:eastAsiaTheme="majorEastAsia" w:hAnsiTheme="majorHAnsi" w:cstheme="majorBidi"/>
      <w:i/>
      <w:iCs/>
      <w:color w:val="243F60" w:themeColor="accent1" w:themeShade="7F"/>
    </w:rPr>
  </w:style>
  <w:style w:type="paragraph" w:styleId="Ttulo8">
    <w:name w:val="heading 8"/>
    <w:basedOn w:val="Normal"/>
    <w:next w:val="Normal"/>
    <w:link w:val="Ttulo8Car"/>
    <w:uiPriority w:val="9"/>
    <w:semiHidden/>
    <w:unhideWhenUsed/>
    <w:qFormat/>
    <w:rsid w:val="00081C30"/>
    <w:pPr>
      <w:keepNext/>
      <w:keepLines/>
      <w:numPr>
        <w:ilvl w:val="7"/>
        <w:numId w:val="7"/>
      </w:numPr>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iPriority w:val="9"/>
    <w:semiHidden/>
    <w:unhideWhenUsed/>
    <w:qFormat/>
    <w:rsid w:val="00081C30"/>
    <w:pPr>
      <w:keepNext/>
      <w:keepLines/>
      <w:numPr>
        <w:ilvl w:val="8"/>
        <w:numId w:val="7"/>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1"/>
    <w:tblPr>
      <w:tblCellMar>
        <w:top w:w="0" w:type="dxa"/>
        <w:left w:w="0" w:type="dxa"/>
        <w:bottom w:w="0" w:type="dxa"/>
        <w:right w:w="0" w:type="dxa"/>
      </w:tblCellMar>
    </w:tblPr>
  </w:style>
  <w:style w:type="table" w:customStyle="1" w:styleId="TableNormal2">
    <w:name w:val="Table Normal2"/>
    <w:tblPr>
      <w:tblCellMar>
        <w:top w:w="0" w:type="dxa"/>
        <w:left w:w="0" w:type="dxa"/>
        <w:bottom w:w="0" w:type="dxa"/>
        <w:right w:w="0" w:type="dxa"/>
      </w:tblCellMar>
    </w:tblPr>
  </w:style>
  <w:style w:type="table" w:customStyle="1" w:styleId="TableNormal10">
    <w:name w:val="Table Normal1"/>
    <w:tblPr>
      <w:tblCellMar>
        <w:top w:w="0" w:type="dxa"/>
        <w:left w:w="0" w:type="dxa"/>
        <w:bottom w:w="0" w:type="dxa"/>
        <w:right w:w="0" w:type="dxa"/>
      </w:tblCellMar>
    </w:tbl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anormal"/>
    <w:tblPr>
      <w:tblStyleRowBandSize w:val="1"/>
      <w:tblStyleColBandSize w:val="1"/>
      <w:tblCellMar>
        <w:top w:w="100" w:type="dxa"/>
        <w:left w:w="100" w:type="dxa"/>
        <w:bottom w:w="100" w:type="dxa"/>
        <w:right w:w="100" w:type="dxa"/>
      </w:tblCellMar>
    </w:tblPr>
  </w:style>
  <w:style w:type="table" w:customStyle="1" w:styleId="a0">
    <w:basedOn w:val="Tablanormal"/>
    <w:tblPr>
      <w:tblStyleRowBandSize w:val="1"/>
      <w:tblStyleColBandSize w:val="1"/>
      <w:tblCellMar>
        <w:top w:w="100" w:type="dxa"/>
        <w:left w:w="100" w:type="dxa"/>
        <w:bottom w:w="100" w:type="dxa"/>
        <w:right w:w="100" w:type="dxa"/>
      </w:tblCellMar>
    </w:tblPr>
  </w:style>
  <w:style w:type="table" w:customStyle="1" w:styleId="a1">
    <w:basedOn w:val="Tablanormal"/>
    <w:tblPr>
      <w:tblStyleRowBandSize w:val="1"/>
      <w:tblStyleColBandSize w:val="1"/>
      <w:tblCellMar>
        <w:top w:w="100" w:type="dxa"/>
        <w:left w:w="100" w:type="dxa"/>
        <w:bottom w:w="100" w:type="dxa"/>
        <w:right w:w="100" w:type="dxa"/>
      </w:tblCellMar>
    </w:tblPr>
  </w:style>
  <w:style w:type="table" w:customStyle="1" w:styleId="a2">
    <w:basedOn w:val="Tablanormal"/>
    <w:tblPr>
      <w:tblStyleRowBandSize w:val="1"/>
      <w:tblStyleColBandSize w:val="1"/>
      <w:tblCellMar>
        <w:top w:w="100" w:type="dxa"/>
        <w:left w:w="100" w:type="dxa"/>
        <w:bottom w:w="100" w:type="dxa"/>
        <w:right w:w="100" w:type="dxa"/>
      </w:tblCellMar>
    </w:tblPr>
  </w:style>
  <w:style w:type="table" w:customStyle="1" w:styleId="a3">
    <w:basedOn w:val="Tablanormal"/>
    <w:tblPr>
      <w:tblStyleRowBandSize w:val="1"/>
      <w:tblStyleColBandSize w:val="1"/>
      <w:tblCellMar>
        <w:top w:w="100" w:type="dxa"/>
        <w:left w:w="100" w:type="dxa"/>
        <w:bottom w:w="100" w:type="dxa"/>
        <w:right w:w="100" w:type="dxa"/>
      </w:tblCellMar>
    </w:tblPr>
  </w:style>
  <w:style w:type="table" w:customStyle="1" w:styleId="a4">
    <w:basedOn w:val="Tablanormal"/>
    <w:tblPr>
      <w:tblStyleRowBandSize w:val="1"/>
      <w:tblStyleColBandSize w:val="1"/>
      <w:tblCellMar>
        <w:top w:w="100" w:type="dxa"/>
        <w:left w:w="100" w:type="dxa"/>
        <w:bottom w:w="100" w:type="dxa"/>
        <w:right w:w="100" w:type="dxa"/>
      </w:tblCellMar>
    </w:tblPr>
  </w:style>
  <w:style w:type="table" w:customStyle="1" w:styleId="a5">
    <w:basedOn w:val="Tablanormal"/>
    <w:tblPr>
      <w:tblStyleRowBandSize w:val="1"/>
      <w:tblStyleColBandSize w:val="1"/>
      <w:tblCellMar>
        <w:top w:w="100" w:type="dxa"/>
        <w:left w:w="100" w:type="dxa"/>
        <w:bottom w:w="100" w:type="dxa"/>
        <w:right w:w="100" w:type="dxa"/>
      </w:tblCellMar>
    </w:tblPr>
  </w:style>
  <w:style w:type="table" w:customStyle="1" w:styleId="a6">
    <w:basedOn w:val="Tablanormal"/>
    <w:tblPr>
      <w:tblStyleRowBandSize w:val="1"/>
      <w:tblStyleColBandSize w:val="1"/>
      <w:tblCellMar>
        <w:top w:w="100" w:type="dxa"/>
        <w:left w:w="100" w:type="dxa"/>
        <w:bottom w:w="100" w:type="dxa"/>
        <w:right w:w="100" w:type="dxa"/>
      </w:tblCellMar>
    </w:tblPr>
  </w:style>
  <w:style w:type="table" w:customStyle="1" w:styleId="a7">
    <w:basedOn w:val="Tablanormal"/>
    <w:tblPr>
      <w:tblStyleRowBandSize w:val="1"/>
      <w:tblStyleColBandSize w:val="1"/>
      <w:tblCellMar>
        <w:top w:w="100" w:type="dxa"/>
        <w:left w:w="100" w:type="dxa"/>
        <w:bottom w:w="100" w:type="dxa"/>
        <w:right w:w="100" w:type="dxa"/>
      </w:tblCellMar>
    </w:tblPr>
  </w:style>
  <w:style w:type="character" w:styleId="Hipervnculo">
    <w:name w:val="Hyperlink"/>
    <w:basedOn w:val="Fuentedeprrafopredeter"/>
    <w:uiPriority w:val="99"/>
    <w:unhideWhenUsed/>
    <w:rsid w:val="00B82C72"/>
    <w:rPr>
      <w:color w:val="0000FF" w:themeColor="hyperlink"/>
      <w:u w:val="single"/>
    </w:rPr>
  </w:style>
  <w:style w:type="character" w:styleId="Refdecomentario">
    <w:name w:val="annotation reference"/>
    <w:basedOn w:val="Fuentedeprrafopredeter"/>
    <w:uiPriority w:val="99"/>
    <w:semiHidden/>
    <w:unhideWhenUsed/>
    <w:rsid w:val="00DF7089"/>
    <w:rPr>
      <w:sz w:val="16"/>
      <w:szCs w:val="16"/>
    </w:rPr>
  </w:style>
  <w:style w:type="paragraph" w:styleId="Textocomentario">
    <w:name w:val="annotation text"/>
    <w:basedOn w:val="Normal"/>
    <w:link w:val="TextocomentarioCar"/>
    <w:uiPriority w:val="99"/>
    <w:semiHidden/>
    <w:unhideWhenUsed/>
    <w:rsid w:val="00DF7089"/>
    <w:rPr>
      <w:sz w:val="20"/>
      <w:szCs w:val="20"/>
    </w:rPr>
  </w:style>
  <w:style w:type="character" w:customStyle="1" w:styleId="TextocomentarioCar">
    <w:name w:val="Texto comentario Car"/>
    <w:basedOn w:val="Fuentedeprrafopredeter"/>
    <w:link w:val="Textocomentario"/>
    <w:uiPriority w:val="99"/>
    <w:semiHidden/>
    <w:rsid w:val="00DF7089"/>
    <w:rPr>
      <w:sz w:val="20"/>
      <w:szCs w:val="20"/>
    </w:rPr>
  </w:style>
  <w:style w:type="paragraph" w:styleId="Asuntodelcomentario">
    <w:name w:val="annotation subject"/>
    <w:basedOn w:val="Textocomentario"/>
    <w:next w:val="Textocomentario"/>
    <w:link w:val="AsuntodelcomentarioCar"/>
    <w:uiPriority w:val="99"/>
    <w:semiHidden/>
    <w:unhideWhenUsed/>
    <w:rsid w:val="00DF7089"/>
    <w:rPr>
      <w:b/>
      <w:bCs/>
    </w:rPr>
  </w:style>
  <w:style w:type="character" w:customStyle="1" w:styleId="AsuntodelcomentarioCar">
    <w:name w:val="Asunto del comentario Car"/>
    <w:basedOn w:val="TextocomentarioCar"/>
    <w:link w:val="Asuntodelcomentario"/>
    <w:uiPriority w:val="99"/>
    <w:semiHidden/>
    <w:rsid w:val="00DF7089"/>
    <w:rPr>
      <w:b/>
      <w:bCs/>
      <w:sz w:val="20"/>
      <w:szCs w:val="20"/>
    </w:rPr>
  </w:style>
  <w:style w:type="paragraph" w:styleId="Textodeglobo">
    <w:name w:val="Balloon Text"/>
    <w:basedOn w:val="Normal"/>
    <w:link w:val="TextodegloboCar"/>
    <w:uiPriority w:val="99"/>
    <w:semiHidden/>
    <w:unhideWhenUsed/>
    <w:rsid w:val="00DF7089"/>
    <w:pPr>
      <w:spacing w:before="0"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F7089"/>
    <w:rPr>
      <w:rFonts w:ascii="Segoe UI" w:hAnsi="Segoe UI" w:cs="Segoe UI"/>
      <w:sz w:val="18"/>
      <w:szCs w:val="18"/>
    </w:rPr>
  </w:style>
  <w:style w:type="table" w:styleId="Tablaconcuadrcula">
    <w:name w:val="Table Grid"/>
    <w:basedOn w:val="Tablanormal"/>
    <w:uiPriority w:val="39"/>
    <w:rsid w:val="00A47635"/>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8">
    <w:basedOn w:val="Tablanormal"/>
    <w:pPr>
      <w:spacing w:before="0" w:after="0"/>
    </w:pPr>
    <w:tblPr>
      <w:tblStyleRowBandSize w:val="1"/>
      <w:tblStyleColBandSize w:val="1"/>
      <w:tblCellMar>
        <w:top w:w="100" w:type="dxa"/>
        <w:left w:w="100" w:type="dxa"/>
        <w:bottom w:w="100" w:type="dxa"/>
        <w:right w:w="100" w:type="dxa"/>
      </w:tblCellMar>
    </w:tblPr>
  </w:style>
  <w:style w:type="table" w:customStyle="1" w:styleId="a9">
    <w:basedOn w:val="Tablanormal"/>
    <w:pPr>
      <w:spacing w:before="0" w:after="0"/>
    </w:pPr>
    <w:tblPr>
      <w:tblStyleRowBandSize w:val="1"/>
      <w:tblStyleColBandSize w:val="1"/>
      <w:tblCellMar>
        <w:top w:w="100" w:type="dxa"/>
        <w:left w:w="100" w:type="dxa"/>
        <w:bottom w:w="100" w:type="dxa"/>
        <w:right w:w="100" w:type="dxa"/>
      </w:tblCellMar>
    </w:tblPr>
  </w:style>
  <w:style w:type="table" w:customStyle="1" w:styleId="aa">
    <w:basedOn w:val="Tablanormal"/>
    <w:pPr>
      <w:spacing w:before="0" w:after="0"/>
    </w:pPr>
    <w:tblPr>
      <w:tblStyleRowBandSize w:val="1"/>
      <w:tblStyleColBandSize w:val="1"/>
      <w:tblCellMar>
        <w:top w:w="100" w:type="dxa"/>
        <w:left w:w="100" w:type="dxa"/>
        <w:bottom w:w="100" w:type="dxa"/>
        <w:right w:w="100" w:type="dxa"/>
      </w:tblCellMar>
    </w:tblPr>
  </w:style>
  <w:style w:type="table" w:customStyle="1" w:styleId="ab">
    <w:basedOn w:val="Tablanormal"/>
    <w:pPr>
      <w:spacing w:before="0" w:after="0"/>
    </w:pPr>
    <w:tblPr>
      <w:tblStyleRowBandSize w:val="1"/>
      <w:tblStyleColBandSize w:val="1"/>
      <w:tblCellMar>
        <w:top w:w="100" w:type="dxa"/>
        <w:left w:w="100" w:type="dxa"/>
        <w:bottom w:w="100" w:type="dxa"/>
        <w:right w:w="100" w:type="dxa"/>
      </w:tblCellMar>
    </w:tblPr>
  </w:style>
  <w:style w:type="table" w:customStyle="1" w:styleId="ac">
    <w:basedOn w:val="Tablanormal"/>
    <w:pPr>
      <w:spacing w:before="0" w:after="0"/>
    </w:pPr>
    <w:tblPr>
      <w:tblStyleRowBandSize w:val="1"/>
      <w:tblStyleColBandSize w:val="1"/>
      <w:tblCellMar>
        <w:top w:w="100" w:type="dxa"/>
        <w:left w:w="100" w:type="dxa"/>
        <w:bottom w:w="100" w:type="dxa"/>
        <w:right w:w="100" w:type="dxa"/>
      </w:tblCellMar>
    </w:tblPr>
  </w:style>
  <w:style w:type="table" w:customStyle="1" w:styleId="ad">
    <w:basedOn w:val="Tablanormal"/>
    <w:pPr>
      <w:spacing w:before="0" w:after="0"/>
    </w:pPr>
    <w:tblPr>
      <w:tblStyleRowBandSize w:val="1"/>
      <w:tblStyleColBandSize w:val="1"/>
      <w:tblCellMar>
        <w:top w:w="100" w:type="dxa"/>
        <w:left w:w="100" w:type="dxa"/>
        <w:bottom w:w="100" w:type="dxa"/>
        <w:right w:w="100" w:type="dxa"/>
      </w:tblCellMar>
    </w:tblPr>
  </w:style>
  <w:style w:type="table" w:customStyle="1" w:styleId="ae">
    <w:basedOn w:val="Tablanormal"/>
    <w:pPr>
      <w:spacing w:before="0" w:after="0"/>
    </w:pPr>
    <w:tblPr>
      <w:tblStyleRowBandSize w:val="1"/>
      <w:tblStyleColBandSize w:val="1"/>
      <w:tblCellMar>
        <w:top w:w="28" w:type="dxa"/>
        <w:left w:w="100" w:type="dxa"/>
        <w:bottom w:w="28" w:type="dxa"/>
        <w:right w:w="100" w:type="dxa"/>
      </w:tblCellMar>
    </w:tblPr>
  </w:style>
  <w:style w:type="table" w:customStyle="1" w:styleId="af">
    <w:basedOn w:val="Tablanormal"/>
    <w:pPr>
      <w:spacing w:before="0" w:after="0"/>
    </w:pPr>
    <w:tblPr>
      <w:tblStyleRowBandSize w:val="1"/>
      <w:tblStyleColBandSize w:val="1"/>
      <w:tblCellMar>
        <w:top w:w="100" w:type="dxa"/>
        <w:left w:w="100" w:type="dxa"/>
        <w:bottom w:w="100" w:type="dxa"/>
        <w:right w:w="100" w:type="dxa"/>
      </w:tblCellMar>
    </w:tblPr>
  </w:style>
  <w:style w:type="table" w:customStyle="1" w:styleId="af0">
    <w:basedOn w:val="Tablanormal"/>
    <w:pPr>
      <w:spacing w:before="0" w:after="0"/>
    </w:pPr>
    <w:tblPr>
      <w:tblStyleRowBandSize w:val="1"/>
      <w:tblStyleColBandSize w:val="1"/>
      <w:tblCellMar>
        <w:top w:w="100" w:type="dxa"/>
        <w:left w:w="100" w:type="dxa"/>
        <w:bottom w:w="100" w:type="dxa"/>
        <w:right w:w="100" w:type="dxa"/>
      </w:tblCellMar>
    </w:tblPr>
  </w:style>
  <w:style w:type="table" w:customStyle="1" w:styleId="af1">
    <w:basedOn w:val="TableNormal10"/>
    <w:pPr>
      <w:spacing w:before="0" w:after="0"/>
    </w:pPr>
    <w:tblPr>
      <w:tblStyleRowBandSize w:val="1"/>
      <w:tblStyleColBandSize w:val="1"/>
      <w:tblCellMar>
        <w:top w:w="100" w:type="dxa"/>
        <w:left w:w="100" w:type="dxa"/>
        <w:bottom w:w="100" w:type="dxa"/>
        <w:right w:w="100" w:type="dxa"/>
      </w:tblCellMar>
    </w:tblPr>
  </w:style>
  <w:style w:type="table" w:customStyle="1" w:styleId="af2">
    <w:basedOn w:val="TableNormal10"/>
    <w:pPr>
      <w:spacing w:before="0" w:after="0"/>
    </w:pPr>
    <w:tblPr>
      <w:tblStyleRowBandSize w:val="1"/>
      <w:tblStyleColBandSize w:val="1"/>
      <w:tblCellMar>
        <w:top w:w="100" w:type="dxa"/>
        <w:left w:w="100" w:type="dxa"/>
        <w:bottom w:w="100" w:type="dxa"/>
        <w:right w:w="100" w:type="dxa"/>
      </w:tblCellMar>
    </w:tblPr>
  </w:style>
  <w:style w:type="table" w:customStyle="1" w:styleId="af3">
    <w:basedOn w:val="TableNormal10"/>
    <w:pPr>
      <w:spacing w:before="0" w:after="0"/>
    </w:pPr>
    <w:tblPr>
      <w:tblStyleRowBandSize w:val="1"/>
      <w:tblStyleColBandSize w:val="1"/>
      <w:tblCellMar>
        <w:top w:w="100" w:type="dxa"/>
        <w:left w:w="100" w:type="dxa"/>
        <w:bottom w:w="100" w:type="dxa"/>
        <w:right w:w="100" w:type="dxa"/>
      </w:tblCellMar>
    </w:tblPr>
  </w:style>
  <w:style w:type="table" w:customStyle="1" w:styleId="af4">
    <w:basedOn w:val="TableNormal10"/>
    <w:pPr>
      <w:spacing w:before="0" w:after="0"/>
    </w:pPr>
    <w:tblPr>
      <w:tblStyleRowBandSize w:val="1"/>
      <w:tblStyleColBandSize w:val="1"/>
      <w:tblCellMar>
        <w:top w:w="100" w:type="dxa"/>
        <w:left w:w="100" w:type="dxa"/>
        <w:bottom w:w="100" w:type="dxa"/>
        <w:right w:w="100" w:type="dxa"/>
      </w:tblCellMar>
    </w:tblPr>
  </w:style>
  <w:style w:type="table" w:customStyle="1" w:styleId="af5">
    <w:basedOn w:val="TableNormal10"/>
    <w:pPr>
      <w:spacing w:before="0" w:after="0"/>
    </w:pPr>
    <w:tblPr>
      <w:tblStyleRowBandSize w:val="1"/>
      <w:tblStyleColBandSize w:val="1"/>
      <w:tblCellMar>
        <w:top w:w="100" w:type="dxa"/>
        <w:left w:w="100" w:type="dxa"/>
        <w:bottom w:w="100" w:type="dxa"/>
        <w:right w:w="100" w:type="dxa"/>
      </w:tblCellMar>
    </w:tblPr>
  </w:style>
  <w:style w:type="table" w:customStyle="1" w:styleId="af6">
    <w:basedOn w:val="TableNormal10"/>
    <w:pPr>
      <w:spacing w:before="0" w:after="0"/>
    </w:pPr>
    <w:tblPr>
      <w:tblStyleRowBandSize w:val="1"/>
      <w:tblStyleColBandSize w:val="1"/>
      <w:tblCellMar>
        <w:top w:w="100" w:type="dxa"/>
        <w:left w:w="100" w:type="dxa"/>
        <w:bottom w:w="100" w:type="dxa"/>
        <w:right w:w="100" w:type="dxa"/>
      </w:tblCellMar>
    </w:tblPr>
  </w:style>
  <w:style w:type="table" w:customStyle="1" w:styleId="af7">
    <w:basedOn w:val="TableNormal10"/>
    <w:pPr>
      <w:spacing w:before="0" w:after="0"/>
    </w:pPr>
    <w:tblPr>
      <w:tblStyleRowBandSize w:val="1"/>
      <w:tblStyleColBandSize w:val="1"/>
      <w:tblCellMar>
        <w:top w:w="100" w:type="dxa"/>
        <w:left w:w="100" w:type="dxa"/>
        <w:bottom w:w="100" w:type="dxa"/>
        <w:right w:w="100" w:type="dxa"/>
      </w:tblCellMar>
    </w:tblPr>
  </w:style>
  <w:style w:type="table" w:customStyle="1" w:styleId="af8">
    <w:basedOn w:val="TableNormal10"/>
    <w:pPr>
      <w:spacing w:before="0" w:after="0"/>
    </w:pPr>
    <w:tblPr>
      <w:tblStyleRowBandSize w:val="1"/>
      <w:tblStyleColBandSize w:val="1"/>
      <w:tblCellMar>
        <w:top w:w="100" w:type="dxa"/>
        <w:left w:w="100" w:type="dxa"/>
        <w:bottom w:w="100" w:type="dxa"/>
        <w:right w:w="100" w:type="dxa"/>
      </w:tblCellMar>
    </w:tblPr>
  </w:style>
  <w:style w:type="table" w:customStyle="1" w:styleId="af9">
    <w:basedOn w:val="TableNormal10"/>
    <w:pPr>
      <w:spacing w:before="0" w:after="0"/>
    </w:pPr>
    <w:tblPr>
      <w:tblStyleRowBandSize w:val="1"/>
      <w:tblStyleColBandSize w:val="1"/>
      <w:tblCellMar>
        <w:top w:w="100" w:type="dxa"/>
        <w:left w:w="100" w:type="dxa"/>
        <w:bottom w:w="100" w:type="dxa"/>
        <w:right w:w="100" w:type="dxa"/>
      </w:tblCellMar>
    </w:tblPr>
  </w:style>
  <w:style w:type="table" w:customStyle="1" w:styleId="afa">
    <w:basedOn w:val="Tablanormal"/>
    <w:pPr>
      <w:spacing w:before="0" w:after="0"/>
    </w:pPr>
    <w:tblPr>
      <w:tblStyleRowBandSize w:val="1"/>
      <w:tblStyleColBandSize w:val="1"/>
      <w:tblCellMar>
        <w:top w:w="100" w:type="dxa"/>
        <w:left w:w="100" w:type="dxa"/>
        <w:bottom w:w="100" w:type="dxa"/>
        <w:right w:w="100" w:type="dxa"/>
      </w:tblCellMar>
    </w:tblPr>
  </w:style>
  <w:style w:type="table" w:customStyle="1" w:styleId="afb">
    <w:basedOn w:val="Tablanormal"/>
    <w:pPr>
      <w:spacing w:before="0" w:after="0"/>
    </w:pPr>
    <w:tblPr>
      <w:tblStyleRowBandSize w:val="1"/>
      <w:tblStyleColBandSize w:val="1"/>
      <w:tblCellMar>
        <w:top w:w="100" w:type="dxa"/>
        <w:left w:w="100" w:type="dxa"/>
        <w:bottom w:w="100" w:type="dxa"/>
        <w:right w:w="100" w:type="dxa"/>
      </w:tblCellMar>
    </w:tblPr>
  </w:style>
  <w:style w:type="table" w:customStyle="1" w:styleId="afc">
    <w:basedOn w:val="Tablanormal"/>
    <w:pPr>
      <w:spacing w:before="0" w:after="0"/>
    </w:pPr>
    <w:tblPr>
      <w:tblStyleRowBandSize w:val="1"/>
      <w:tblStyleColBandSize w:val="1"/>
      <w:tblCellMar>
        <w:top w:w="100" w:type="dxa"/>
        <w:left w:w="100" w:type="dxa"/>
        <w:bottom w:w="100" w:type="dxa"/>
        <w:right w:w="100" w:type="dxa"/>
      </w:tblCellMar>
    </w:tblPr>
  </w:style>
  <w:style w:type="table" w:customStyle="1" w:styleId="afd">
    <w:basedOn w:val="Tablanormal"/>
    <w:pPr>
      <w:spacing w:before="0" w:after="0"/>
    </w:pPr>
    <w:tblPr>
      <w:tblStyleRowBandSize w:val="1"/>
      <w:tblStyleColBandSize w:val="1"/>
      <w:tblCellMar>
        <w:top w:w="100" w:type="dxa"/>
        <w:left w:w="100" w:type="dxa"/>
        <w:bottom w:w="100" w:type="dxa"/>
        <w:right w:w="100" w:type="dxa"/>
      </w:tblCellMar>
    </w:tblPr>
  </w:style>
  <w:style w:type="table" w:customStyle="1" w:styleId="afe">
    <w:basedOn w:val="Tablanormal"/>
    <w:pPr>
      <w:spacing w:before="0" w:after="0"/>
    </w:pPr>
    <w:tblPr>
      <w:tblStyleRowBandSize w:val="1"/>
      <w:tblStyleColBandSize w:val="1"/>
      <w:tblCellMar>
        <w:top w:w="100" w:type="dxa"/>
        <w:left w:w="100" w:type="dxa"/>
        <w:bottom w:w="100" w:type="dxa"/>
        <w:right w:w="100" w:type="dxa"/>
      </w:tblCellMar>
    </w:tblPr>
  </w:style>
  <w:style w:type="table" w:customStyle="1" w:styleId="aff">
    <w:basedOn w:val="Tablanormal"/>
    <w:pPr>
      <w:spacing w:before="0" w:after="0"/>
    </w:pPr>
    <w:tblPr>
      <w:tblStyleRowBandSize w:val="1"/>
      <w:tblStyleColBandSize w:val="1"/>
      <w:tblCellMar>
        <w:top w:w="100" w:type="dxa"/>
        <w:left w:w="100" w:type="dxa"/>
        <w:bottom w:w="100" w:type="dxa"/>
        <w:right w:w="100" w:type="dxa"/>
      </w:tblCellMar>
    </w:tblPr>
  </w:style>
  <w:style w:type="table" w:customStyle="1" w:styleId="aff0">
    <w:basedOn w:val="Tablanormal"/>
    <w:pPr>
      <w:spacing w:before="0" w:after="0"/>
    </w:pPr>
    <w:tblPr>
      <w:tblStyleRowBandSize w:val="1"/>
      <w:tblStyleColBandSize w:val="1"/>
      <w:tblCellMar>
        <w:top w:w="100" w:type="dxa"/>
        <w:left w:w="100" w:type="dxa"/>
        <w:bottom w:w="100" w:type="dxa"/>
        <w:right w:w="100" w:type="dxa"/>
      </w:tblCellMar>
    </w:tblPr>
  </w:style>
  <w:style w:type="table" w:customStyle="1" w:styleId="aff1">
    <w:basedOn w:val="Tablanormal"/>
    <w:pPr>
      <w:spacing w:before="0" w:after="0"/>
    </w:pPr>
    <w:tblPr>
      <w:tblStyleRowBandSize w:val="1"/>
      <w:tblStyleColBandSize w:val="1"/>
      <w:tblCellMar>
        <w:top w:w="100" w:type="dxa"/>
        <w:left w:w="100" w:type="dxa"/>
        <w:bottom w:w="100" w:type="dxa"/>
        <w:right w:w="100" w:type="dxa"/>
      </w:tblCellMar>
    </w:tblPr>
  </w:style>
  <w:style w:type="table" w:customStyle="1" w:styleId="aff2">
    <w:basedOn w:val="Tablanormal"/>
    <w:pPr>
      <w:spacing w:before="0" w:after="0"/>
    </w:pPr>
    <w:tblPr>
      <w:tblStyleRowBandSize w:val="1"/>
      <w:tblStyleColBandSize w:val="1"/>
      <w:tblCellMar>
        <w:top w:w="100" w:type="dxa"/>
        <w:left w:w="100" w:type="dxa"/>
        <w:bottom w:w="100" w:type="dxa"/>
        <w:right w:w="100" w:type="dxa"/>
      </w:tblCellMar>
    </w:tblPr>
  </w:style>
  <w:style w:type="table" w:customStyle="1" w:styleId="aff3">
    <w:basedOn w:val="Tablanormal"/>
    <w:pPr>
      <w:spacing w:before="0" w:after="0"/>
    </w:pPr>
    <w:tblPr>
      <w:tblStyleRowBandSize w:val="1"/>
      <w:tblStyleColBandSize w:val="1"/>
      <w:tblCellMar>
        <w:top w:w="100" w:type="dxa"/>
        <w:left w:w="100" w:type="dxa"/>
        <w:bottom w:w="100" w:type="dxa"/>
        <w:right w:w="100" w:type="dxa"/>
      </w:tblCellMar>
    </w:tblPr>
  </w:style>
  <w:style w:type="table" w:customStyle="1" w:styleId="aff4">
    <w:basedOn w:val="Tablanormal"/>
    <w:pPr>
      <w:spacing w:before="0" w:after="0"/>
    </w:pPr>
    <w:tblPr>
      <w:tblStyleRowBandSize w:val="1"/>
      <w:tblStyleColBandSize w:val="1"/>
      <w:tblCellMar>
        <w:top w:w="100" w:type="dxa"/>
        <w:left w:w="100" w:type="dxa"/>
        <w:bottom w:w="100" w:type="dxa"/>
        <w:right w:w="100" w:type="dxa"/>
      </w:tblCellMar>
    </w:tblPr>
  </w:style>
  <w:style w:type="table" w:customStyle="1" w:styleId="aff5">
    <w:basedOn w:val="Tablanormal"/>
    <w:pPr>
      <w:spacing w:before="0" w:after="0"/>
    </w:pPr>
    <w:tblPr>
      <w:tblStyleRowBandSize w:val="1"/>
      <w:tblStyleColBandSize w:val="1"/>
      <w:tblCellMar>
        <w:top w:w="100" w:type="dxa"/>
        <w:left w:w="100" w:type="dxa"/>
        <w:bottom w:w="100" w:type="dxa"/>
        <w:right w:w="100" w:type="dxa"/>
      </w:tblCellMar>
    </w:tblPr>
  </w:style>
  <w:style w:type="table" w:customStyle="1" w:styleId="aff6">
    <w:basedOn w:val="Tablanormal"/>
    <w:pPr>
      <w:spacing w:before="0" w:after="0"/>
    </w:pPr>
    <w:tblPr>
      <w:tblStyleRowBandSize w:val="1"/>
      <w:tblStyleColBandSize w:val="1"/>
      <w:tblCellMar>
        <w:top w:w="100" w:type="dxa"/>
        <w:left w:w="100" w:type="dxa"/>
        <w:bottom w:w="100" w:type="dxa"/>
        <w:right w:w="100" w:type="dxa"/>
      </w:tblCellMar>
    </w:tblPr>
  </w:style>
  <w:style w:type="table" w:customStyle="1" w:styleId="aff7">
    <w:basedOn w:val="Tablanormal"/>
    <w:tblPr>
      <w:tblStyleRowBandSize w:val="1"/>
      <w:tblStyleColBandSize w:val="1"/>
      <w:tblCellMar>
        <w:top w:w="100" w:type="dxa"/>
        <w:left w:w="100" w:type="dxa"/>
        <w:bottom w:w="100" w:type="dxa"/>
        <w:right w:w="100" w:type="dxa"/>
      </w:tblCellMar>
    </w:tblPr>
  </w:style>
  <w:style w:type="table" w:customStyle="1" w:styleId="aff8">
    <w:basedOn w:val="Tablanormal"/>
    <w:pPr>
      <w:spacing w:before="0" w:after="0"/>
    </w:pPr>
    <w:tblPr>
      <w:tblStyleRowBandSize w:val="1"/>
      <w:tblStyleColBandSize w:val="1"/>
      <w:tblCellMar>
        <w:top w:w="100" w:type="dxa"/>
        <w:left w:w="100" w:type="dxa"/>
        <w:bottom w:w="100" w:type="dxa"/>
        <w:right w:w="100" w:type="dxa"/>
      </w:tblCellMar>
    </w:tblPr>
  </w:style>
  <w:style w:type="table" w:customStyle="1" w:styleId="aff9">
    <w:basedOn w:val="Tablanormal"/>
    <w:pPr>
      <w:spacing w:before="0" w:after="0"/>
    </w:pPr>
    <w:tblPr>
      <w:tblStyleRowBandSize w:val="1"/>
      <w:tblStyleColBandSize w:val="1"/>
      <w:tblCellMar>
        <w:top w:w="100" w:type="dxa"/>
        <w:left w:w="100" w:type="dxa"/>
        <w:bottom w:w="100" w:type="dxa"/>
        <w:right w:w="100" w:type="dxa"/>
      </w:tblCellMar>
    </w:tblPr>
  </w:style>
  <w:style w:type="table" w:customStyle="1" w:styleId="affa">
    <w:basedOn w:val="Tablanormal"/>
    <w:pPr>
      <w:spacing w:before="0" w:after="0"/>
    </w:pPr>
    <w:tblPr>
      <w:tblStyleRowBandSize w:val="1"/>
      <w:tblStyleColBandSize w:val="1"/>
      <w:tblCellMar>
        <w:top w:w="100" w:type="dxa"/>
        <w:left w:w="100" w:type="dxa"/>
        <w:bottom w:w="100" w:type="dxa"/>
        <w:right w:w="100" w:type="dxa"/>
      </w:tblCellMar>
    </w:tblPr>
  </w:style>
  <w:style w:type="table" w:customStyle="1" w:styleId="affb">
    <w:basedOn w:val="Tablanormal"/>
    <w:pPr>
      <w:spacing w:before="0" w:after="0"/>
    </w:pPr>
    <w:tblPr>
      <w:tblStyleRowBandSize w:val="1"/>
      <w:tblStyleColBandSize w:val="1"/>
      <w:tblCellMar>
        <w:top w:w="100" w:type="dxa"/>
        <w:left w:w="100" w:type="dxa"/>
        <w:bottom w:w="100" w:type="dxa"/>
        <w:right w:w="100" w:type="dxa"/>
      </w:tblCellMar>
    </w:tblPr>
  </w:style>
  <w:style w:type="table" w:customStyle="1" w:styleId="affc">
    <w:basedOn w:val="Tablanormal"/>
    <w:pPr>
      <w:spacing w:before="0" w:after="0"/>
    </w:pPr>
    <w:tblPr>
      <w:tblStyleRowBandSize w:val="1"/>
      <w:tblStyleColBandSize w:val="1"/>
      <w:tblCellMar>
        <w:top w:w="100" w:type="dxa"/>
        <w:left w:w="100" w:type="dxa"/>
        <w:bottom w:w="100" w:type="dxa"/>
        <w:right w:w="100" w:type="dxa"/>
      </w:tblCellMar>
    </w:tblPr>
  </w:style>
  <w:style w:type="table" w:customStyle="1" w:styleId="affd">
    <w:basedOn w:val="TableNormal2"/>
    <w:pPr>
      <w:spacing w:before="0" w:after="0"/>
    </w:pPr>
    <w:tblPr>
      <w:tblStyleRowBandSize w:val="1"/>
      <w:tblStyleColBandSize w:val="1"/>
      <w:tblCellMar>
        <w:top w:w="100" w:type="dxa"/>
        <w:left w:w="100" w:type="dxa"/>
        <w:bottom w:w="100" w:type="dxa"/>
        <w:right w:w="100" w:type="dxa"/>
      </w:tblCellMar>
    </w:tblPr>
  </w:style>
  <w:style w:type="table" w:customStyle="1" w:styleId="affe">
    <w:basedOn w:val="TableNormal2"/>
    <w:pPr>
      <w:spacing w:before="0" w:after="0"/>
    </w:pPr>
    <w:tblPr>
      <w:tblStyleRowBandSize w:val="1"/>
      <w:tblStyleColBandSize w:val="1"/>
      <w:tblCellMar>
        <w:top w:w="100" w:type="dxa"/>
        <w:left w:w="100" w:type="dxa"/>
        <w:bottom w:w="100" w:type="dxa"/>
        <w:right w:w="100" w:type="dxa"/>
      </w:tblCellMar>
    </w:tblPr>
  </w:style>
  <w:style w:type="table" w:customStyle="1" w:styleId="afff">
    <w:basedOn w:val="TableNormal2"/>
    <w:pPr>
      <w:spacing w:before="0" w:after="0"/>
    </w:pPr>
    <w:tblPr>
      <w:tblStyleRowBandSize w:val="1"/>
      <w:tblStyleColBandSize w:val="1"/>
      <w:tblCellMar>
        <w:top w:w="100" w:type="dxa"/>
        <w:left w:w="100" w:type="dxa"/>
        <w:bottom w:w="100" w:type="dxa"/>
        <w:right w:w="100" w:type="dxa"/>
      </w:tblCellMar>
    </w:tblPr>
  </w:style>
  <w:style w:type="table" w:customStyle="1" w:styleId="afff0">
    <w:basedOn w:val="TableNormal2"/>
    <w:pPr>
      <w:spacing w:before="0" w:after="0"/>
    </w:pPr>
    <w:tblPr>
      <w:tblStyleRowBandSize w:val="1"/>
      <w:tblStyleColBandSize w:val="1"/>
      <w:tblCellMar>
        <w:top w:w="100" w:type="dxa"/>
        <w:left w:w="100" w:type="dxa"/>
        <w:bottom w:w="100" w:type="dxa"/>
        <w:right w:w="100" w:type="dxa"/>
      </w:tblCellMar>
    </w:tblPr>
  </w:style>
  <w:style w:type="table" w:customStyle="1" w:styleId="afff1">
    <w:basedOn w:val="TableNormal2"/>
    <w:pPr>
      <w:spacing w:before="0" w:after="0"/>
    </w:pPr>
    <w:tblPr>
      <w:tblStyleRowBandSize w:val="1"/>
      <w:tblStyleColBandSize w:val="1"/>
      <w:tblCellMar>
        <w:top w:w="100" w:type="dxa"/>
        <w:left w:w="100" w:type="dxa"/>
        <w:bottom w:w="100" w:type="dxa"/>
        <w:right w:w="100" w:type="dxa"/>
      </w:tblCellMar>
    </w:tblPr>
  </w:style>
  <w:style w:type="table" w:customStyle="1" w:styleId="afff2">
    <w:basedOn w:val="TableNormal2"/>
    <w:pPr>
      <w:spacing w:before="0" w:after="0"/>
    </w:pPr>
    <w:tblPr>
      <w:tblStyleRowBandSize w:val="1"/>
      <w:tblStyleColBandSize w:val="1"/>
      <w:tblCellMar>
        <w:top w:w="100" w:type="dxa"/>
        <w:left w:w="100" w:type="dxa"/>
        <w:bottom w:w="100" w:type="dxa"/>
        <w:right w:w="100" w:type="dxa"/>
      </w:tblCellMar>
    </w:tblPr>
  </w:style>
  <w:style w:type="table" w:customStyle="1" w:styleId="afff3">
    <w:basedOn w:val="TableNormal2"/>
    <w:pPr>
      <w:spacing w:before="0" w:after="0"/>
    </w:pPr>
    <w:tblPr>
      <w:tblStyleRowBandSize w:val="1"/>
      <w:tblStyleColBandSize w:val="1"/>
      <w:tblCellMar>
        <w:top w:w="100" w:type="dxa"/>
        <w:left w:w="100" w:type="dxa"/>
        <w:bottom w:w="100" w:type="dxa"/>
        <w:right w:w="100" w:type="dxa"/>
      </w:tblCellMar>
    </w:tblPr>
  </w:style>
  <w:style w:type="table" w:customStyle="1" w:styleId="afff4">
    <w:basedOn w:val="TableNormal2"/>
    <w:pPr>
      <w:spacing w:before="0" w:after="0"/>
    </w:pPr>
    <w:tblPr>
      <w:tblStyleRowBandSize w:val="1"/>
      <w:tblStyleColBandSize w:val="1"/>
      <w:tblCellMar>
        <w:top w:w="100" w:type="dxa"/>
        <w:left w:w="100" w:type="dxa"/>
        <w:bottom w:w="100" w:type="dxa"/>
        <w:right w:w="100" w:type="dxa"/>
      </w:tblCellMar>
    </w:tblPr>
  </w:style>
  <w:style w:type="table" w:customStyle="1" w:styleId="afff5">
    <w:basedOn w:val="TableNormal2"/>
    <w:pPr>
      <w:spacing w:before="0" w:after="0"/>
    </w:pPr>
    <w:tblPr>
      <w:tblStyleRowBandSize w:val="1"/>
      <w:tblStyleColBandSize w:val="1"/>
      <w:tblCellMar>
        <w:top w:w="100" w:type="dxa"/>
        <w:left w:w="100" w:type="dxa"/>
        <w:bottom w:w="100" w:type="dxa"/>
        <w:right w:w="100" w:type="dxa"/>
      </w:tblCellMar>
    </w:tblPr>
  </w:style>
  <w:style w:type="character" w:customStyle="1" w:styleId="Mencinsinresolver1">
    <w:name w:val="Mención sin resolver1"/>
    <w:basedOn w:val="Fuentedeprrafopredeter"/>
    <w:uiPriority w:val="99"/>
    <w:semiHidden/>
    <w:unhideWhenUsed/>
    <w:rsid w:val="006F70CA"/>
    <w:rPr>
      <w:color w:val="605E5C"/>
      <w:shd w:val="clear" w:color="auto" w:fill="E1DFDD"/>
    </w:rPr>
  </w:style>
  <w:style w:type="paragraph" w:styleId="Encabezado">
    <w:name w:val="header"/>
    <w:aliases w:val="header odd,header,header odd1,header odd2,header odd3,header odd4,header odd5,header odd6,header1,header2,header3,header odd11,header odd21,header odd7,header4,header odd8,header odd9,header5,header odd12,header11,header21,header odd22,h"/>
    <w:link w:val="EncabezadoCar"/>
    <w:rsid w:val="006F70CA"/>
    <w:pPr>
      <w:widowControl w:val="0"/>
      <w:tabs>
        <w:tab w:val="clear" w:pos="0"/>
      </w:tabs>
      <w:spacing w:before="0" w:after="0"/>
      <w:jc w:val="left"/>
    </w:pPr>
    <w:rPr>
      <w:rFonts w:ascii="Arial" w:eastAsia="PMingLiU" w:hAnsi="Arial"/>
      <w:b/>
      <w:noProof/>
      <w:sz w:val="18"/>
      <w:szCs w:val="20"/>
      <w:lang w:val="en-GB" w:eastAsia="en-US"/>
    </w:rPr>
  </w:style>
  <w:style w:type="character" w:customStyle="1" w:styleId="EncabezadoCar">
    <w:name w:val="Encabezado Car"/>
    <w:aliases w:val="header odd Car,header Car,header odd1 Car,header odd2 Car,header odd3 Car,header odd4 Car,header odd5 Car,header odd6 Car,header1 Car,header2 Car,header3 Car,header odd11 Car,header odd21 Car,header odd7 Car,header4 Car,header odd8 Car"/>
    <w:basedOn w:val="Fuentedeprrafopredeter"/>
    <w:link w:val="Encabezado"/>
    <w:rsid w:val="006F70CA"/>
    <w:rPr>
      <w:rFonts w:ascii="Arial" w:eastAsia="PMingLiU" w:hAnsi="Arial"/>
      <w:b/>
      <w:noProof/>
      <w:sz w:val="18"/>
      <w:szCs w:val="20"/>
      <w:lang w:val="en-GB" w:eastAsia="en-US"/>
    </w:rPr>
  </w:style>
  <w:style w:type="paragraph" w:customStyle="1" w:styleId="NO">
    <w:name w:val="NO"/>
    <w:basedOn w:val="Normal"/>
    <w:link w:val="NOChar1"/>
    <w:rsid w:val="003423F0"/>
    <w:pPr>
      <w:keepLines/>
      <w:tabs>
        <w:tab w:val="clear" w:pos="0"/>
      </w:tabs>
      <w:spacing w:before="0"/>
      <w:ind w:left="1135" w:hanging="851"/>
      <w:jc w:val="left"/>
    </w:pPr>
    <w:rPr>
      <w:sz w:val="20"/>
      <w:szCs w:val="20"/>
      <w:lang w:val="en-GB" w:eastAsia="en-US"/>
    </w:rPr>
  </w:style>
  <w:style w:type="character" w:customStyle="1" w:styleId="NOChar1">
    <w:name w:val="NO Char1"/>
    <w:link w:val="NO"/>
    <w:rsid w:val="003423F0"/>
    <w:rPr>
      <w:sz w:val="20"/>
      <w:szCs w:val="20"/>
      <w:lang w:val="en-GB" w:eastAsia="en-US"/>
    </w:rPr>
  </w:style>
  <w:style w:type="paragraph" w:customStyle="1" w:styleId="TAL">
    <w:name w:val="TAL"/>
    <w:basedOn w:val="Normal"/>
    <w:link w:val="TALChar"/>
    <w:rsid w:val="003423F0"/>
    <w:pPr>
      <w:keepNext/>
      <w:keepLines/>
      <w:tabs>
        <w:tab w:val="clear" w:pos="0"/>
      </w:tabs>
      <w:spacing w:before="0" w:after="0"/>
      <w:jc w:val="left"/>
    </w:pPr>
    <w:rPr>
      <w:rFonts w:ascii="Arial" w:hAnsi="Arial"/>
      <w:sz w:val="18"/>
      <w:szCs w:val="20"/>
      <w:lang w:val="en-GB" w:eastAsia="en-US"/>
    </w:rPr>
  </w:style>
  <w:style w:type="character" w:customStyle="1" w:styleId="TALChar">
    <w:name w:val="TAL Char"/>
    <w:link w:val="TAL"/>
    <w:qFormat/>
    <w:rsid w:val="003423F0"/>
    <w:rPr>
      <w:rFonts w:ascii="Arial" w:hAnsi="Arial"/>
      <w:sz w:val="18"/>
      <w:szCs w:val="20"/>
      <w:lang w:val="en-GB" w:eastAsia="en-US"/>
    </w:rPr>
  </w:style>
  <w:style w:type="paragraph" w:customStyle="1" w:styleId="TAH">
    <w:name w:val="TAH"/>
    <w:basedOn w:val="TAC"/>
    <w:link w:val="TAHCar"/>
    <w:qFormat/>
    <w:rsid w:val="003423F0"/>
    <w:rPr>
      <w:b/>
    </w:rPr>
  </w:style>
  <w:style w:type="paragraph" w:customStyle="1" w:styleId="TAC">
    <w:name w:val="TAC"/>
    <w:basedOn w:val="TAL"/>
    <w:link w:val="TACChar"/>
    <w:qFormat/>
    <w:rsid w:val="003423F0"/>
    <w:pPr>
      <w:jc w:val="center"/>
    </w:pPr>
  </w:style>
  <w:style w:type="paragraph" w:customStyle="1" w:styleId="B1">
    <w:name w:val="B1"/>
    <w:basedOn w:val="Lista"/>
    <w:link w:val="B1Char"/>
    <w:qFormat/>
    <w:rsid w:val="003423F0"/>
    <w:pPr>
      <w:tabs>
        <w:tab w:val="clear" w:pos="0"/>
      </w:tabs>
      <w:spacing w:before="0"/>
      <w:ind w:left="568" w:hanging="284"/>
      <w:contextualSpacing w:val="0"/>
      <w:jc w:val="left"/>
    </w:pPr>
    <w:rPr>
      <w:sz w:val="20"/>
      <w:szCs w:val="20"/>
      <w:lang w:val="en-GB" w:eastAsia="en-US"/>
    </w:rPr>
  </w:style>
  <w:style w:type="character" w:customStyle="1" w:styleId="B1Char">
    <w:name w:val="B1 Char"/>
    <w:link w:val="B1"/>
    <w:locked/>
    <w:rsid w:val="003423F0"/>
    <w:rPr>
      <w:sz w:val="20"/>
      <w:szCs w:val="20"/>
      <w:lang w:val="en-GB" w:eastAsia="en-US"/>
    </w:rPr>
  </w:style>
  <w:style w:type="paragraph" w:customStyle="1" w:styleId="TH">
    <w:name w:val="TH"/>
    <w:basedOn w:val="Normal"/>
    <w:link w:val="THChar"/>
    <w:qFormat/>
    <w:rsid w:val="003423F0"/>
    <w:pPr>
      <w:keepNext/>
      <w:keepLines/>
      <w:tabs>
        <w:tab w:val="clear" w:pos="0"/>
      </w:tabs>
      <w:jc w:val="center"/>
    </w:pPr>
    <w:rPr>
      <w:rFonts w:ascii="Arial" w:hAnsi="Arial"/>
      <w:b/>
      <w:sz w:val="20"/>
      <w:szCs w:val="20"/>
      <w:lang w:val="en-GB" w:eastAsia="en-US"/>
    </w:rPr>
  </w:style>
  <w:style w:type="paragraph" w:customStyle="1" w:styleId="B2">
    <w:name w:val="B2"/>
    <w:basedOn w:val="Lista2"/>
    <w:link w:val="B2Char"/>
    <w:qFormat/>
    <w:rsid w:val="003423F0"/>
    <w:pPr>
      <w:tabs>
        <w:tab w:val="clear" w:pos="0"/>
      </w:tabs>
      <w:spacing w:before="0"/>
      <w:ind w:left="851" w:hanging="284"/>
      <w:contextualSpacing w:val="0"/>
      <w:jc w:val="left"/>
    </w:pPr>
    <w:rPr>
      <w:sz w:val="20"/>
      <w:szCs w:val="20"/>
      <w:lang w:val="en-GB" w:eastAsia="en-US"/>
    </w:rPr>
  </w:style>
  <w:style w:type="character" w:customStyle="1" w:styleId="B2Char">
    <w:name w:val="B2 Char"/>
    <w:link w:val="B2"/>
    <w:qFormat/>
    <w:rsid w:val="003423F0"/>
    <w:rPr>
      <w:sz w:val="20"/>
      <w:szCs w:val="20"/>
      <w:lang w:val="en-GB" w:eastAsia="en-US"/>
    </w:rPr>
  </w:style>
  <w:style w:type="character" w:customStyle="1" w:styleId="THChar">
    <w:name w:val="TH Char"/>
    <w:link w:val="TH"/>
    <w:qFormat/>
    <w:rsid w:val="003423F0"/>
    <w:rPr>
      <w:rFonts w:ascii="Arial" w:hAnsi="Arial"/>
      <w:b/>
      <w:sz w:val="20"/>
      <w:szCs w:val="20"/>
      <w:lang w:val="en-GB" w:eastAsia="en-US"/>
    </w:rPr>
  </w:style>
  <w:style w:type="character" w:customStyle="1" w:styleId="TAHCar">
    <w:name w:val="TAH Car"/>
    <w:link w:val="TAH"/>
    <w:qFormat/>
    <w:locked/>
    <w:rsid w:val="003423F0"/>
    <w:rPr>
      <w:rFonts w:ascii="Arial" w:hAnsi="Arial"/>
      <w:b/>
      <w:sz w:val="18"/>
      <w:szCs w:val="20"/>
      <w:lang w:val="en-GB" w:eastAsia="en-US"/>
    </w:rPr>
  </w:style>
  <w:style w:type="character" w:customStyle="1" w:styleId="TACChar">
    <w:name w:val="TAC Char"/>
    <w:link w:val="TAC"/>
    <w:qFormat/>
    <w:locked/>
    <w:rsid w:val="003423F0"/>
    <w:rPr>
      <w:rFonts w:ascii="Arial" w:hAnsi="Arial"/>
      <w:sz w:val="18"/>
      <w:szCs w:val="20"/>
      <w:lang w:val="en-GB" w:eastAsia="en-US"/>
    </w:rPr>
  </w:style>
  <w:style w:type="paragraph" w:styleId="Lista">
    <w:name w:val="List"/>
    <w:basedOn w:val="Normal"/>
    <w:uiPriority w:val="99"/>
    <w:semiHidden/>
    <w:unhideWhenUsed/>
    <w:rsid w:val="003423F0"/>
    <w:pPr>
      <w:ind w:left="283" w:hanging="283"/>
      <w:contextualSpacing/>
    </w:pPr>
  </w:style>
  <w:style w:type="paragraph" w:styleId="Lista2">
    <w:name w:val="List 2"/>
    <w:basedOn w:val="Normal"/>
    <w:uiPriority w:val="99"/>
    <w:semiHidden/>
    <w:unhideWhenUsed/>
    <w:rsid w:val="003423F0"/>
    <w:pPr>
      <w:ind w:left="566" w:hanging="283"/>
      <w:contextualSpacing/>
    </w:pPr>
  </w:style>
  <w:style w:type="character" w:customStyle="1" w:styleId="Ttulo7Car">
    <w:name w:val="Título 7 Car"/>
    <w:basedOn w:val="Fuentedeprrafopredeter"/>
    <w:link w:val="Ttulo7"/>
    <w:uiPriority w:val="9"/>
    <w:semiHidden/>
    <w:rsid w:val="00081C30"/>
    <w:rPr>
      <w:rFonts w:asciiTheme="majorHAnsi" w:eastAsiaTheme="majorEastAsia" w:hAnsiTheme="majorHAnsi" w:cstheme="majorBidi"/>
      <w:i/>
      <w:iCs/>
      <w:color w:val="243F60" w:themeColor="accent1" w:themeShade="7F"/>
    </w:rPr>
  </w:style>
  <w:style w:type="character" w:customStyle="1" w:styleId="Ttulo8Car">
    <w:name w:val="Título 8 Car"/>
    <w:basedOn w:val="Fuentedeprrafopredeter"/>
    <w:link w:val="Ttulo8"/>
    <w:uiPriority w:val="9"/>
    <w:semiHidden/>
    <w:rsid w:val="00081C30"/>
    <w:rPr>
      <w:rFonts w:asciiTheme="majorHAnsi" w:eastAsiaTheme="majorEastAsia" w:hAnsiTheme="majorHAnsi" w:cstheme="majorBidi"/>
      <w:color w:val="272727" w:themeColor="text1" w:themeTint="D8"/>
      <w:sz w:val="21"/>
      <w:szCs w:val="21"/>
    </w:rPr>
  </w:style>
  <w:style w:type="character" w:customStyle="1" w:styleId="Ttulo9Car">
    <w:name w:val="Título 9 Car"/>
    <w:basedOn w:val="Fuentedeprrafopredeter"/>
    <w:link w:val="Ttulo9"/>
    <w:uiPriority w:val="9"/>
    <w:semiHidden/>
    <w:rsid w:val="00081C30"/>
    <w:rPr>
      <w:rFonts w:asciiTheme="majorHAnsi" w:eastAsiaTheme="majorEastAsia" w:hAnsiTheme="majorHAnsi" w:cstheme="majorBidi"/>
      <w:i/>
      <w:iCs/>
      <w:color w:val="272727" w:themeColor="text1" w:themeTint="D8"/>
      <w:sz w:val="21"/>
      <w:szCs w:val="21"/>
    </w:rPr>
  </w:style>
  <w:style w:type="paragraph" w:customStyle="1" w:styleId="normalpuce">
    <w:name w:val="normal puce"/>
    <w:basedOn w:val="Normal"/>
    <w:rsid w:val="00081C30"/>
    <w:pPr>
      <w:widowControl w:val="0"/>
      <w:tabs>
        <w:tab w:val="clear" w:pos="0"/>
        <w:tab w:val="num" w:pos="720"/>
      </w:tabs>
      <w:spacing w:after="60"/>
      <w:ind w:left="720" w:hanging="720"/>
    </w:pPr>
    <w:rPr>
      <w:rFonts w:ascii="Calibri" w:eastAsia="MS Mincho" w:hAnsi="Calibri"/>
      <w:sz w:val="20"/>
      <w:lang w:val="en-GB" w:eastAsia="en-US"/>
    </w:rPr>
  </w:style>
  <w:style w:type="paragraph" w:customStyle="1" w:styleId="TAN">
    <w:name w:val="TAN"/>
    <w:basedOn w:val="TAL"/>
    <w:qFormat/>
    <w:rsid w:val="00081C30"/>
    <w:pPr>
      <w:ind w:left="851" w:hanging="851"/>
    </w:pPr>
  </w:style>
  <w:style w:type="paragraph" w:styleId="Textoindependiente">
    <w:name w:val="Body Text"/>
    <w:basedOn w:val="Normal"/>
    <w:link w:val="TextoindependienteCar"/>
    <w:qFormat/>
    <w:rsid w:val="00743F84"/>
    <w:pPr>
      <w:tabs>
        <w:tab w:val="clear" w:pos="0"/>
      </w:tabs>
      <w:spacing w:before="0"/>
      <w:jc w:val="left"/>
    </w:pPr>
    <w:rPr>
      <w:rFonts w:eastAsia="PMingLiU"/>
      <w:sz w:val="20"/>
      <w:szCs w:val="20"/>
      <w:lang w:val="en-GB" w:eastAsia="en-US"/>
    </w:rPr>
  </w:style>
  <w:style w:type="character" w:customStyle="1" w:styleId="TextoindependienteCar">
    <w:name w:val="Texto independiente Car"/>
    <w:basedOn w:val="Fuentedeprrafopredeter"/>
    <w:link w:val="Textoindependiente"/>
    <w:rsid w:val="00743F84"/>
    <w:rPr>
      <w:rFonts w:eastAsia="PMingLiU"/>
      <w:sz w:val="20"/>
      <w:szCs w:val="20"/>
      <w:lang w:val="en-GB" w:eastAsia="en-US"/>
    </w:rPr>
  </w:style>
  <w:style w:type="paragraph" w:styleId="Prrafodelista">
    <w:name w:val="List Paragraph"/>
    <w:aliases w:val="- Bullets,Lista1,?? ??,?????,????,列出段落1,中等深浅网格 1 - 着色 21,1st level - Bullet List Paragraph,List Paragraph1,Lettre d'introduction,Paragrafo elenco,Normal bullet 2,Bullet list,Numbered List,Task Body,Viñetas (Inicio Parrafo),목록 단,목록 단락"/>
    <w:basedOn w:val="Normal"/>
    <w:link w:val="PrrafodelistaCar"/>
    <w:uiPriority w:val="34"/>
    <w:qFormat/>
    <w:rsid w:val="00743F84"/>
    <w:pPr>
      <w:tabs>
        <w:tab w:val="clear" w:pos="0"/>
      </w:tabs>
      <w:spacing w:before="0"/>
      <w:ind w:left="720"/>
      <w:jc w:val="left"/>
    </w:pPr>
    <w:rPr>
      <w:rFonts w:eastAsia="PMingLiU"/>
      <w:sz w:val="20"/>
      <w:szCs w:val="20"/>
      <w:lang w:val="en-GB" w:eastAsia="en-US"/>
    </w:rPr>
  </w:style>
  <w:style w:type="character" w:customStyle="1" w:styleId="PrrafodelistaCar">
    <w:name w:val="Párrafo de lista Car"/>
    <w:aliases w:val="- Bullets Car,Lista1 Car,?? ?? Car,????? Car,???? Car,列出段落1 Car,中等深浅网格 1 - 着色 21 Car,1st level - Bullet List Paragraph Car,List Paragraph1 Car,Lettre d'introduction Car,Paragrafo elenco Car,Normal bullet 2 Car,Bullet list Car"/>
    <w:link w:val="Prrafodelista"/>
    <w:uiPriority w:val="34"/>
    <w:qFormat/>
    <w:locked/>
    <w:rsid w:val="00743F84"/>
    <w:rPr>
      <w:rFonts w:eastAsia="PMingLiU"/>
      <w:sz w:val="20"/>
      <w:szCs w:val="20"/>
      <w:lang w:val="en-GB" w:eastAsia="en-US"/>
    </w:rPr>
  </w:style>
  <w:style w:type="table" w:customStyle="1" w:styleId="GridTable4-Accent41">
    <w:name w:val="Grid Table 4 - Accent 41"/>
    <w:basedOn w:val="Tablanormal"/>
    <w:uiPriority w:val="49"/>
    <w:rsid w:val="00743F84"/>
    <w:pPr>
      <w:tabs>
        <w:tab w:val="clear" w:pos="0"/>
      </w:tabs>
      <w:spacing w:before="0" w:after="0"/>
      <w:jc w:val="left"/>
    </w:pPr>
    <w:rPr>
      <w:rFonts w:asciiTheme="minorHAnsi" w:eastAsiaTheme="minorEastAsia" w:hAnsiTheme="minorHAnsi" w:cstheme="minorBidi"/>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afff6">
    <w:basedOn w:val="TableNormal0"/>
    <w:tblPr>
      <w:tblStyleRowBandSize w:val="1"/>
      <w:tblStyleColBandSize w:val="1"/>
    </w:tblPr>
  </w:style>
  <w:style w:type="table" w:customStyle="1" w:styleId="afff7">
    <w:basedOn w:val="TableNormal0"/>
    <w:tblPr>
      <w:tblStyleRowBandSize w:val="1"/>
      <w:tblStyleColBandSize w:val="1"/>
    </w:tblPr>
  </w:style>
  <w:style w:type="table" w:customStyle="1" w:styleId="afff8">
    <w:basedOn w:val="TableNormal0"/>
    <w:pPr>
      <w:spacing w:before="0" w:after="0"/>
    </w:pPr>
    <w:tblPr>
      <w:tblStyleRowBandSize w:val="1"/>
      <w:tblStyleColBandSize w:val="1"/>
      <w:tblCellMar>
        <w:left w:w="100" w:type="dxa"/>
        <w:bottom w:w="28" w:type="dxa"/>
        <w:right w:w="100" w:type="dxa"/>
      </w:tblCellMar>
    </w:tblPr>
  </w:style>
  <w:style w:type="table" w:customStyle="1" w:styleId="afff9">
    <w:basedOn w:val="TableNormal0"/>
    <w:pPr>
      <w:spacing w:before="0" w:after="0"/>
      <w:jc w:val="left"/>
    </w:pPr>
    <w:rPr>
      <w:rFonts w:ascii="Cambria" w:eastAsia="Cambria" w:hAnsi="Cambria" w:cs="Cambria"/>
    </w:rPr>
    <w:tblPr>
      <w:tblStyleRowBandSize w:val="1"/>
      <w:tblStyleColBandSize w:val="1"/>
      <w:tblCellMar>
        <w:top w:w="100" w:type="dxa"/>
        <w:left w:w="100" w:type="dxa"/>
        <w:bottom w:w="100" w:type="dxa"/>
        <w:right w:w="100" w:type="dxa"/>
      </w:tblCellMar>
    </w:tblPr>
  </w:style>
  <w:style w:type="table" w:customStyle="1" w:styleId="afffa">
    <w:basedOn w:val="TableNormal0"/>
    <w:pPr>
      <w:spacing w:before="0" w:after="0"/>
      <w:jc w:val="left"/>
    </w:pPr>
    <w:rPr>
      <w:rFonts w:ascii="Cambria" w:eastAsia="Cambria" w:hAnsi="Cambria" w:cs="Cambria"/>
    </w:rPr>
    <w:tblPr>
      <w:tblStyleRowBandSize w:val="1"/>
      <w:tblStyleColBandSize w:val="1"/>
      <w:tblCellMar>
        <w:top w:w="100" w:type="dxa"/>
        <w:left w:w="100" w:type="dxa"/>
        <w:bottom w:w="100" w:type="dxa"/>
        <w:right w:w="100" w:type="dxa"/>
      </w:tblCellMar>
    </w:tblPr>
  </w:style>
  <w:style w:type="table" w:customStyle="1" w:styleId="afffb">
    <w:basedOn w:val="TableNormal0"/>
    <w:pPr>
      <w:spacing w:before="0" w:after="0"/>
      <w:jc w:val="left"/>
    </w:pPr>
    <w:rPr>
      <w:rFonts w:ascii="Cambria" w:eastAsia="Cambria" w:hAnsi="Cambria" w:cs="Cambria"/>
    </w:rPr>
    <w:tblPr>
      <w:tblStyleRowBandSize w:val="1"/>
      <w:tblStyleColBandSize w:val="1"/>
      <w:tblCellMar>
        <w:top w:w="100" w:type="dxa"/>
        <w:left w:w="100" w:type="dxa"/>
        <w:bottom w:w="100" w:type="dxa"/>
        <w:right w:w="100" w:type="dxa"/>
      </w:tblCellMar>
    </w:tblPr>
  </w:style>
  <w:style w:type="table" w:customStyle="1" w:styleId="afffc">
    <w:basedOn w:val="TableNormal0"/>
    <w:pPr>
      <w:spacing w:before="0" w:after="0"/>
      <w:jc w:val="left"/>
    </w:pPr>
    <w:rPr>
      <w:rFonts w:ascii="Cambria" w:eastAsia="Cambria" w:hAnsi="Cambria" w:cs="Cambria"/>
    </w:rPr>
    <w:tblPr>
      <w:tblStyleRowBandSize w:val="1"/>
      <w:tblStyleColBandSize w:val="1"/>
      <w:tblCellMar>
        <w:top w:w="100" w:type="dxa"/>
        <w:left w:w="100" w:type="dxa"/>
        <w:bottom w:w="100" w:type="dxa"/>
        <w:right w:w="100" w:type="dxa"/>
      </w:tblCellMar>
    </w:tblPr>
  </w:style>
  <w:style w:type="table" w:customStyle="1" w:styleId="afffd">
    <w:basedOn w:val="TableNormal0"/>
    <w:pPr>
      <w:spacing w:before="0" w:after="0"/>
      <w:jc w:val="left"/>
    </w:pPr>
    <w:rPr>
      <w:rFonts w:ascii="Cambria" w:eastAsia="Cambria" w:hAnsi="Cambria" w:cs="Cambria"/>
    </w:rPr>
    <w:tblPr>
      <w:tblStyleRowBandSize w:val="1"/>
      <w:tblStyleColBandSize w:val="1"/>
      <w:tblCellMar>
        <w:top w:w="100" w:type="dxa"/>
        <w:left w:w="100" w:type="dxa"/>
        <w:bottom w:w="100" w:type="dxa"/>
        <w:right w:w="100" w:type="dxa"/>
      </w:tblCellMar>
    </w:tblPr>
  </w:style>
  <w:style w:type="table" w:customStyle="1" w:styleId="afffe">
    <w:basedOn w:val="TableNormal0"/>
    <w:pPr>
      <w:spacing w:before="0" w:after="0"/>
      <w:jc w:val="left"/>
    </w:pPr>
    <w:rPr>
      <w:rFonts w:ascii="Cambria" w:eastAsia="Cambria" w:hAnsi="Cambria" w:cs="Cambria"/>
    </w:rPr>
    <w:tblPr>
      <w:tblStyleRowBandSize w:val="1"/>
      <w:tblStyleColBandSize w:val="1"/>
      <w:tblCellMar>
        <w:top w:w="100" w:type="dxa"/>
        <w:left w:w="100" w:type="dxa"/>
        <w:bottom w:w="100" w:type="dxa"/>
        <w:right w:w="100" w:type="dxa"/>
      </w:tblCellMar>
    </w:tblPr>
  </w:style>
  <w:style w:type="table" w:customStyle="1" w:styleId="affff">
    <w:basedOn w:val="TableNormal0"/>
    <w:pPr>
      <w:spacing w:before="0" w:after="0"/>
      <w:jc w:val="left"/>
    </w:pPr>
    <w:rPr>
      <w:rFonts w:ascii="Cambria" w:eastAsia="Cambria" w:hAnsi="Cambria" w:cs="Cambria"/>
    </w:rPr>
    <w:tblPr>
      <w:tblStyleRowBandSize w:val="1"/>
      <w:tblStyleColBandSize w:val="1"/>
      <w:tblCellMar>
        <w:top w:w="100" w:type="dxa"/>
        <w:left w:w="100" w:type="dxa"/>
        <w:bottom w:w="100" w:type="dxa"/>
        <w:right w:w="100" w:type="dxa"/>
      </w:tblCellMar>
    </w:tblPr>
  </w:style>
  <w:style w:type="table" w:customStyle="1" w:styleId="affff0">
    <w:basedOn w:val="TableNormal0"/>
    <w:pPr>
      <w:spacing w:before="0" w:after="0"/>
      <w:jc w:val="left"/>
    </w:pPr>
    <w:rPr>
      <w:rFonts w:ascii="Cambria" w:eastAsia="Cambria" w:hAnsi="Cambria" w:cs="Cambria"/>
    </w:rPr>
    <w:tblPr>
      <w:tblStyleRowBandSize w:val="1"/>
      <w:tblStyleColBandSize w:val="1"/>
      <w:tblCellMar>
        <w:top w:w="100" w:type="dxa"/>
        <w:left w:w="100" w:type="dxa"/>
        <w:bottom w:w="100" w:type="dxa"/>
        <w:right w:w="100" w:type="dxa"/>
      </w:tblCellMar>
    </w:tblPr>
  </w:style>
  <w:style w:type="table" w:customStyle="1" w:styleId="affff1">
    <w:basedOn w:val="TableNormal0"/>
    <w:pPr>
      <w:spacing w:before="0" w:after="0"/>
      <w:jc w:val="left"/>
    </w:pPr>
    <w:rPr>
      <w:rFonts w:ascii="Cambria" w:eastAsia="Cambria" w:hAnsi="Cambria" w:cs="Cambria"/>
    </w:r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image" Target="media/image8.jpg"/><Relationship Id="rId3" Type="http://schemas.openxmlformats.org/officeDocument/2006/relationships/styles" Target="styles.xml"/><Relationship Id="rId7" Type="http://schemas.openxmlformats.org/officeDocument/2006/relationships/image" Target="media/image2.jpg"/><Relationship Id="rId12" Type="http://schemas.openxmlformats.org/officeDocument/2006/relationships/image" Target="media/image7.jp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image" Target="media/image6.jpg"/><Relationship Id="rId5" Type="http://schemas.openxmlformats.org/officeDocument/2006/relationships/webSettings" Target="webSettings.xml"/><Relationship Id="rId15" Type="http://schemas.openxmlformats.org/officeDocument/2006/relationships/hyperlink" Target="https://www.3gpp.org/ftp/TSG_RAN/WG1_RL1/TSGR1_104-e/Docs/R1-2101019.zip" TargetMode="External"/><Relationship Id="rId10" Type="http://schemas.openxmlformats.org/officeDocument/2006/relationships/image" Target="media/image5.jpg"/><Relationship Id="rId4" Type="http://schemas.openxmlformats.org/officeDocument/2006/relationships/settings" Target="settings.xml"/><Relationship Id="rId9" Type="http://schemas.openxmlformats.org/officeDocument/2006/relationships/image" Target="media/image4.jpg"/><Relationship Id="rId14" Type="http://schemas.openxmlformats.org/officeDocument/2006/relationships/hyperlink" Target="https://www.3gpp.org/ftp/tsg_ran/WG1_RL1/TSGR1_104-e/Docs/R1-210227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uyF5suV3Fu13rQdUEwp+HRfC1vQ==">AMUW2mXxvo/4mcEHVL4ag5/fI4VFWcqRZqj281EecEtoyWewnW1qzx8km5m79OiSsftpNzgs08lSaRxot10FjJzCbBI9QlCvE9rbomrBO1YRZmaGpv7gfv4n2jnStoarXQPCMqCpuIEIckxYYNc/VBNcM0jZkbdHrkO4cn+BabX5RrRz/PzE+ue6wjwSCqKs62V6rZvHyoUYbdl/G4sCy5hYvAmGNM75b/yOjLxz957+QUw0plf8X1g=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8</Pages>
  <Words>1580</Words>
  <Characters>8693</Characters>
  <Application>Microsoft Office Word</Application>
  <DocSecurity>0</DocSecurity>
  <Lines>72</Lines>
  <Paragraphs>20</Paragraphs>
  <ScaleCrop>false</ScaleCrop>
  <Company>UPC</Company>
  <LinksUpToDate>false</LinksUpToDate>
  <CharactersWithSpaces>10253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ramon</dc:creator>
  <cp:lastModifiedBy>Ramon Ferrús</cp:lastModifiedBy>
  <cp:revision>7</cp:revision>
  <dcterms:created xsi:type="dcterms:W3CDTF">2021-01-18T12:09:00Z</dcterms:created>
  <dcterms:modified xsi:type="dcterms:W3CDTF">2021-04-06T18:40:00Z</dcterms:modified>
</cp:coreProperties>
</file>